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3F2" w:rsidRDefault="001E28DE">
      <w:pPr>
        <w:spacing w:line="240" w:lineRule="auto"/>
        <w:ind w:right="-1" w:firstLine="709"/>
        <w:jc w:val="right"/>
        <w:rPr>
          <w:rFonts w:ascii="Times New Roman" w:hAnsi="Times New Roman" w:cs="Times New Roman"/>
          <w:sz w:val="28"/>
          <w:szCs w:val="28"/>
        </w:rPr>
      </w:pPr>
      <w:r>
        <w:rPr>
          <w:rFonts w:ascii="Times New Roman" w:hAnsi="Times New Roman" w:cs="Times New Roman"/>
          <w:sz w:val="28"/>
          <w:szCs w:val="28"/>
        </w:rPr>
        <w:t>Приложение 3</w:t>
      </w:r>
    </w:p>
    <w:p w:rsidR="00EF5790" w:rsidRPr="00EF5790" w:rsidRDefault="00EF5790" w:rsidP="00EF5790">
      <w:pPr>
        <w:spacing w:after="0" w:line="240" w:lineRule="auto"/>
        <w:ind w:right="-1" w:firstLine="851"/>
        <w:jc w:val="both"/>
        <w:rPr>
          <w:rFonts w:ascii="Times New Roman" w:hAnsi="Times New Roman" w:cs="Times New Roman"/>
          <w:bCs/>
          <w:sz w:val="28"/>
          <w:szCs w:val="28"/>
        </w:rPr>
      </w:pPr>
      <w:r w:rsidRPr="00EF5790">
        <w:rPr>
          <w:rFonts w:ascii="Times New Roman" w:hAnsi="Times New Roman" w:cs="Times New Roman"/>
          <w:bCs/>
          <w:sz w:val="28"/>
          <w:szCs w:val="28"/>
        </w:rPr>
        <w:t xml:space="preserve">В декабре 2020 года впервые в практике отечественных госзакупок в Московской области на нормативном уровне введено понятие Умный контракт (принято постановление Правительства Московской области от 25.12.2020 №1040/44). </w:t>
      </w:r>
    </w:p>
    <w:p w:rsidR="00EF5790" w:rsidRPr="00EF5790" w:rsidRDefault="00EF5790" w:rsidP="00EF5790">
      <w:pPr>
        <w:spacing w:after="0" w:line="240" w:lineRule="auto"/>
        <w:ind w:right="-1" w:firstLine="851"/>
        <w:jc w:val="both"/>
        <w:rPr>
          <w:rFonts w:ascii="Times New Roman" w:hAnsi="Times New Roman" w:cs="Times New Roman"/>
          <w:bCs/>
          <w:sz w:val="28"/>
          <w:szCs w:val="28"/>
        </w:rPr>
      </w:pPr>
      <w:r w:rsidRPr="00EF5790">
        <w:rPr>
          <w:rFonts w:ascii="Times New Roman" w:hAnsi="Times New Roman" w:cs="Times New Roman"/>
          <w:bCs/>
          <w:sz w:val="28"/>
          <w:szCs w:val="28"/>
        </w:rPr>
        <w:t>В соответствии с принятым постановлением Умный контракт - технология создания цифровой модели контракта, обеспечивающая автоматизированное формирование текстовой части проекта контракта, а также автоматизированный контроль исполнения контракта после его заключения.</w:t>
      </w:r>
    </w:p>
    <w:p w:rsidR="005453F2" w:rsidRDefault="00EF5790" w:rsidP="007A6F5B">
      <w:pPr>
        <w:spacing w:after="0" w:line="240" w:lineRule="auto"/>
        <w:ind w:right="-1" w:firstLine="851"/>
        <w:jc w:val="both"/>
        <w:rPr>
          <w:rFonts w:ascii="Times New Roman" w:hAnsi="Times New Roman" w:cs="Times New Roman"/>
          <w:bCs/>
          <w:sz w:val="28"/>
          <w:szCs w:val="28"/>
        </w:rPr>
      </w:pPr>
      <w:r w:rsidRPr="00EF5790">
        <w:rPr>
          <w:rFonts w:ascii="Times New Roman" w:hAnsi="Times New Roman" w:cs="Times New Roman"/>
          <w:bCs/>
          <w:sz w:val="28"/>
          <w:szCs w:val="28"/>
        </w:rPr>
        <w:t>По итогам 2020 года доля Умных контрактов (по количеству) в регионе составила 37%, в 2021 года доля УК выросла в два раза и составила 74%, в 2022 году, по состоянию на 22.04.2022 доля УК достигла 80%.</w:t>
      </w:r>
    </w:p>
    <w:p w:rsidR="007A6F5B" w:rsidRPr="007A6F5B" w:rsidRDefault="007A6F5B" w:rsidP="007A6F5B">
      <w:pPr>
        <w:spacing w:after="0" w:line="240" w:lineRule="auto"/>
        <w:ind w:right="-1" w:firstLine="851"/>
        <w:jc w:val="both"/>
        <w:rPr>
          <w:rFonts w:ascii="Times New Roman" w:hAnsi="Times New Roman" w:cs="Times New Roman"/>
          <w:bCs/>
          <w:sz w:val="28"/>
          <w:szCs w:val="28"/>
        </w:rPr>
      </w:pPr>
    </w:p>
    <w:p w:rsidR="007A6F5B" w:rsidRPr="007A6F5B" w:rsidRDefault="007A6F5B" w:rsidP="007A6F5B">
      <w:pPr>
        <w:spacing w:after="0" w:line="240" w:lineRule="auto"/>
        <w:ind w:right="-1" w:firstLine="708"/>
        <w:jc w:val="both"/>
        <w:rPr>
          <w:rFonts w:ascii="Times New Roman" w:hAnsi="Times New Roman" w:cs="Times New Roman"/>
          <w:b/>
          <w:bCs/>
          <w:sz w:val="28"/>
          <w:szCs w:val="28"/>
        </w:rPr>
      </w:pPr>
      <w:r w:rsidRPr="007A6F5B">
        <w:rPr>
          <w:rFonts w:ascii="Times New Roman" w:hAnsi="Times New Roman" w:cs="Times New Roman"/>
          <w:b/>
          <w:bCs/>
          <w:sz w:val="28"/>
          <w:szCs w:val="28"/>
        </w:rPr>
        <w:t>Общий объем ежегодной оцифровки условий контрактов, следующий:</w:t>
      </w:r>
    </w:p>
    <w:p w:rsidR="007A6F5B" w:rsidRPr="007A6F5B" w:rsidRDefault="007A6F5B" w:rsidP="007A6F5B">
      <w:pPr>
        <w:spacing w:after="0" w:line="240" w:lineRule="auto"/>
        <w:ind w:right="-1" w:firstLine="708"/>
        <w:jc w:val="both"/>
        <w:rPr>
          <w:rFonts w:ascii="Times New Roman" w:hAnsi="Times New Roman" w:cs="Times New Roman"/>
          <w:sz w:val="28"/>
          <w:szCs w:val="28"/>
        </w:rPr>
      </w:pPr>
      <w:r w:rsidRPr="007A6F5B">
        <w:rPr>
          <w:rFonts w:ascii="Times New Roman" w:hAnsi="Times New Roman" w:cs="Times New Roman"/>
          <w:sz w:val="28"/>
          <w:szCs w:val="28"/>
        </w:rPr>
        <w:t>- количество оцифрованных контрактов – 400 тысяч (включая закупки малого объема), что составляет 99,5% доли от суммы всех контрактов;</w:t>
      </w:r>
    </w:p>
    <w:p w:rsidR="007A6F5B" w:rsidRPr="007A6F5B" w:rsidRDefault="007A6F5B" w:rsidP="007A6F5B">
      <w:pPr>
        <w:spacing w:after="0" w:line="240" w:lineRule="auto"/>
        <w:ind w:right="-1" w:firstLine="708"/>
        <w:jc w:val="both"/>
        <w:rPr>
          <w:rFonts w:ascii="Times New Roman" w:hAnsi="Times New Roman" w:cs="Times New Roman"/>
          <w:sz w:val="28"/>
          <w:szCs w:val="28"/>
        </w:rPr>
      </w:pPr>
      <w:r w:rsidRPr="007A6F5B">
        <w:rPr>
          <w:rFonts w:ascii="Times New Roman" w:hAnsi="Times New Roman" w:cs="Times New Roman"/>
          <w:sz w:val="28"/>
          <w:szCs w:val="28"/>
        </w:rPr>
        <w:t>- количество контролируемых обязательств по заключенным контрактам – более 2,5 млн.;</w:t>
      </w:r>
    </w:p>
    <w:p w:rsidR="007A6F5B" w:rsidRPr="007A6F5B" w:rsidRDefault="007A6F5B" w:rsidP="007A6F5B">
      <w:pPr>
        <w:spacing w:after="0" w:line="240" w:lineRule="auto"/>
        <w:ind w:right="-1" w:firstLine="708"/>
        <w:jc w:val="both"/>
        <w:rPr>
          <w:rFonts w:ascii="Times New Roman" w:hAnsi="Times New Roman" w:cs="Times New Roman"/>
          <w:sz w:val="28"/>
          <w:szCs w:val="28"/>
        </w:rPr>
      </w:pPr>
      <w:r w:rsidRPr="007A6F5B">
        <w:rPr>
          <w:rFonts w:ascii="Times New Roman" w:hAnsi="Times New Roman" w:cs="Times New Roman"/>
          <w:sz w:val="28"/>
          <w:szCs w:val="28"/>
        </w:rPr>
        <w:t>- объем документооборота – более 5 млн документов (более 22 тысяч ежедневно);</w:t>
      </w:r>
    </w:p>
    <w:p w:rsidR="007A6F5B" w:rsidRPr="007A6F5B" w:rsidRDefault="007A6F5B" w:rsidP="007A6F5B">
      <w:pPr>
        <w:spacing w:after="0" w:line="240" w:lineRule="auto"/>
        <w:ind w:right="-1" w:firstLine="708"/>
        <w:jc w:val="both"/>
        <w:rPr>
          <w:rFonts w:ascii="Times New Roman" w:hAnsi="Times New Roman" w:cs="Times New Roman"/>
          <w:sz w:val="28"/>
          <w:szCs w:val="28"/>
        </w:rPr>
      </w:pPr>
      <w:r w:rsidRPr="007A6F5B">
        <w:rPr>
          <w:rFonts w:ascii="Times New Roman" w:hAnsi="Times New Roman" w:cs="Times New Roman"/>
          <w:sz w:val="28"/>
          <w:szCs w:val="28"/>
        </w:rPr>
        <w:t>- количество организаций заказчиков, работающих в ПИК – более 6 тысяч;</w:t>
      </w:r>
    </w:p>
    <w:p w:rsidR="007A6F5B" w:rsidRDefault="007A6F5B" w:rsidP="007A6F5B">
      <w:pPr>
        <w:spacing w:after="0" w:line="240" w:lineRule="auto"/>
        <w:ind w:right="-1" w:firstLine="708"/>
        <w:jc w:val="both"/>
        <w:rPr>
          <w:rFonts w:ascii="Times New Roman" w:hAnsi="Times New Roman" w:cs="Times New Roman"/>
          <w:sz w:val="28"/>
          <w:szCs w:val="28"/>
        </w:rPr>
      </w:pPr>
      <w:r w:rsidRPr="007A6F5B">
        <w:rPr>
          <w:rFonts w:ascii="Times New Roman" w:hAnsi="Times New Roman" w:cs="Times New Roman"/>
          <w:sz w:val="28"/>
          <w:szCs w:val="28"/>
        </w:rPr>
        <w:t>- количество организаций исполнителей (включая ИП, физических лиц) – более 50 тысяч.</w:t>
      </w:r>
    </w:p>
    <w:p w:rsidR="009A5CF7" w:rsidRDefault="009A5CF7" w:rsidP="007A6F5B">
      <w:pPr>
        <w:spacing w:after="0" w:line="240" w:lineRule="auto"/>
        <w:ind w:right="-1" w:firstLine="708"/>
        <w:jc w:val="both"/>
        <w:rPr>
          <w:rFonts w:ascii="Times New Roman" w:hAnsi="Times New Roman" w:cs="Times New Roman"/>
          <w:sz w:val="28"/>
          <w:szCs w:val="28"/>
        </w:rPr>
      </w:pP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 xml:space="preserve">Основные характеристики технологии Умного контракта ПИК. </w:t>
      </w:r>
      <w:r w:rsidRPr="009A5CF7">
        <w:rPr>
          <w:rFonts w:ascii="Times New Roman" w:eastAsia="Calibri" w:hAnsi="Times New Roman" w:cs="Times New Roman"/>
          <w:sz w:val="28"/>
          <w:szCs w:val="28"/>
        </w:rPr>
        <w:t>ПИК является средой оцифровки условий контрактов. Результатом оцифровки является информационная модель условий контракта – Электронная карточка контракта (ЭКК) и формируемый на его основе проект контракта (в автоматизированном режиме). При этом необходимо отметить следующее:</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при оцифровке условий контракта исключаются условия, нарушающие требования действующего законодательства;</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существующая ЭКК – является набором алгоритмов условий и обязательств по контракту. Работа алгоритмов предполагает как отдельное (локальное) исполнение обязательств, так и связку последовательных обязательств, например, последовательная алгоритмическая связь обязательств, связанных с объектом закупки, включает в себя: обязательства поставки; обязательства приемки (направления мотивированного отказа); обязательства оплаты. При этом все сроки в указанной цепочке рассчитываются автоматизировано, в соответствии с условиями контракта;</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 достоверность сведений в ПИК основана на применении электронных документов, подписанных ЭЦП. Документы существуют в алгоритмической </w:t>
      </w:r>
      <w:r w:rsidRPr="009A5CF7">
        <w:rPr>
          <w:rFonts w:ascii="Times New Roman" w:eastAsia="Calibri" w:hAnsi="Times New Roman" w:cs="Times New Roman"/>
          <w:sz w:val="28"/>
          <w:szCs w:val="28"/>
        </w:rPr>
        <w:lastRenderedPageBreak/>
        <w:t>привязке к конкретным обязательствам. Информация о текущем объеме исполнения контракта берется автоматизировано из документов приемки. Достоверность обеспечивается также использованием цифровой спецификации (перечня объектов закупки), при этом документ приемки, загружаемый исполнителем в ПИК, автоматизировано проверяется на соответствие спецификации (наименование объекта закупки; цена единицы; объем);</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доступ к соответствующей информационной среде ПИК предоставляется только сторонам по контракту, третьим лицам, экспертам (в рамках приемки результата контракта), контрольным органам. Исполнители получают доступ к контракту только после его регистрации в ЕИС либо в ЕАСУЗ (в отношении контрактов малого объема);</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вся совокупность оцифрованных условий контракта представляет из себя цепочку «блок-чейн», которая после заключения контракта может быть изменена только посредством подписания измененных оцифрованных условий ЭЦП контрагентов. При этом такие изменения могут быть осуществлены только при условии, что они не противоречат требованиям как условий контракта, так и действующему законодательству.</w:t>
      </w:r>
    </w:p>
    <w:p w:rsidR="009A5CF7" w:rsidRPr="009A5CF7" w:rsidRDefault="009A5CF7" w:rsidP="009A5CF7">
      <w:pPr>
        <w:spacing w:after="0" w:line="240" w:lineRule="auto"/>
        <w:ind w:firstLine="567"/>
        <w:jc w:val="both"/>
        <w:rPr>
          <w:rFonts w:ascii="Times New Roman" w:eastAsia="Calibri" w:hAnsi="Times New Roman" w:cs="Times New Roman"/>
          <w:b/>
          <w:sz w:val="28"/>
          <w:szCs w:val="28"/>
        </w:rPr>
      </w:pPr>
    </w:p>
    <w:p w:rsidR="009A5CF7" w:rsidRPr="009A5CF7" w:rsidRDefault="009A5CF7" w:rsidP="009A5CF7">
      <w:pPr>
        <w:spacing w:after="0" w:line="240" w:lineRule="auto"/>
        <w:ind w:firstLine="567"/>
        <w:jc w:val="both"/>
        <w:rPr>
          <w:rFonts w:ascii="Times New Roman" w:eastAsia="Calibri" w:hAnsi="Times New Roman" w:cs="Times New Roman"/>
          <w:b/>
          <w:bCs/>
          <w:sz w:val="28"/>
          <w:szCs w:val="28"/>
        </w:rPr>
      </w:pPr>
      <w:r w:rsidRPr="009A5CF7">
        <w:rPr>
          <w:rFonts w:ascii="Times New Roman" w:eastAsia="Calibri" w:hAnsi="Times New Roman" w:cs="Times New Roman"/>
          <w:b/>
          <w:bCs/>
          <w:sz w:val="28"/>
          <w:szCs w:val="28"/>
        </w:rPr>
        <w:t>Описание работы технологии Умного контракта по этапам.</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1. Оцифровка условий УК до публикации извещения о закупке</w:t>
      </w:r>
      <w:r w:rsidRPr="009A5CF7">
        <w:rPr>
          <w:rFonts w:ascii="Times New Roman" w:eastAsia="Calibri" w:hAnsi="Times New Roman" w:cs="Times New Roman"/>
          <w:sz w:val="28"/>
          <w:szCs w:val="28"/>
        </w:rPr>
        <w:t xml:space="preserve"> (заключения контракта с единственным поставщиком). В процессе оцифровки условий контракта заказчик, на основе информации о закупке, автоматизировано поступившей из утвержденного плана-графика закупок, создает Электронную карточку контракта (ЭКК - цифровая модель условий и обязательств по контракту).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Каждый раздел УК оцифровывается на основе разработанных алгоритмов, что позволяет сформировать Цифровую модель УК и на ее основе получить Текст проекта УК. При этом исключается: несоответствие условий контракта требованиям действующего законодательства; противоречия в части установления ответственной стороны за исполнение обязательств; не указание сроков исполнения обязательств (для обоих контрагентов); установление сроков оплаты в нарушение требований законодательства о закупках; определения порядка приемки с нарушениями требований законодательства о закупках; случаи не указания сроков предоставления документов, предусмотренных контрактом и не указания ответственных за их предоставление и рассмотрение (для обоих контрагентов).</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Отметим, что с применением технологии УК нарушения при утверждении документации (в части проекта контракта) прекратились. Тем самым сократились основания для обжалования закупок в этой части, а также риски привлечения к административной ответственности.</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2. Оцифровка условий УК до его заключения,</w:t>
      </w:r>
      <w:r w:rsidRPr="009A5CF7">
        <w:rPr>
          <w:rFonts w:ascii="Times New Roman" w:eastAsia="Calibri" w:hAnsi="Times New Roman" w:cs="Times New Roman"/>
          <w:sz w:val="28"/>
          <w:szCs w:val="28"/>
        </w:rPr>
        <w:t xml:space="preserve"> осуществляется после определения победителя и необходима для внесения в контракт сведений, ставших известных по результатам процедуры определения поставщика. На этом этапе алгоритмы УК исключают следующие нарушения: некорректное </w:t>
      </w:r>
      <w:r w:rsidRPr="009A5CF7">
        <w:rPr>
          <w:rFonts w:ascii="Times New Roman" w:eastAsia="Calibri" w:hAnsi="Times New Roman" w:cs="Times New Roman"/>
          <w:sz w:val="28"/>
          <w:szCs w:val="28"/>
        </w:rPr>
        <w:lastRenderedPageBreak/>
        <w:t>применения процента снижения на торгах в отношении объектов закупки; некорректное указание реквизитов исполнителя по контракту; при заключении контракта с исполнителем, не являющимся плательщиком НДС, из перечня документов исключается счет-фактура. На этом этапе указываются торговые наименования поставляемого товара на основании заявки участника (формируется электронный перечень (спецификация) поставляемых товаров в привязке к объектам закупки, указанным до публикации извещения), что позволяет в последующем автоматизировано контролировать исполнение контракта в этой части.</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3. После заключения контракта начинается исполнение</w:t>
      </w:r>
      <w:r w:rsidRPr="009A5CF7">
        <w:rPr>
          <w:rFonts w:ascii="Times New Roman" w:eastAsia="Calibri" w:hAnsi="Times New Roman" w:cs="Times New Roman"/>
          <w:sz w:val="28"/>
          <w:szCs w:val="28"/>
        </w:rPr>
        <w:t xml:space="preserve"> УК в среде ПИК. «Перевод» ЭКК в режим исполнения осуществляется автоматизировано после получения в ПИК из ЕАСУЗ информации о регистрации контракта в ЕИС, а для закупок малого объема о регистрации контракта в ЕАСУЗ.</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Технология УК на этом этапе исключает следующие нарушения: поставка товара, не предусмотренного условиями контракта; завышение цены единицы товара; превышение объема в случаях, не предусмотренных условиями контракта; подписание документа приемки на объем, превышающий условия контракта, без заключения дополнительного соглашения (если контрактом предусмотрена такая возможность); исключение случаев изменения условий контрактов в нарушение требований законодательства и условий контракта; подписание документа приемки с нарушениями (в случае наличия ошибок предусмотрен вариант корректировки электронного документа в соответствии с требованиями бухгалтерского учета); односторонний отказ от исполнения обязательств по контракту, в случае, если контрактом такая возможность не предусмотрена.</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Ряд нарушений технологически исключить нельзя. Например, со стороны исполнителя - нарушение сроков поставки товара, со стороны заказчика – нарушение сроков приемки, оплаты. В целях минимизации таких нарушений предусматривается: автоматизированный расчет сроков, в соответствии с условиями контракта; автоматизированное уведомление сторон о поступлении документа на подписание, а также: за три, два и один день до окончания срока его рассмотрения.</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Практика показывает, что на момент заключения контракта известна дата либо первого обязательства, либо вообще ни одной даты по обязательству (если исполнение обязательства осуществляется на основе заявки, которая будет направляться заказчиком при возникновении необходимости).  Таким образом практически все сроки контракта в УК являются «динамическими» (автоматизировано рассчитываются при наступлении соответствующего события).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Для справки.</w:t>
      </w:r>
      <w:r w:rsidRPr="009A5CF7">
        <w:rPr>
          <w:rFonts w:ascii="Times New Roman" w:eastAsia="Calibri" w:hAnsi="Times New Roman" w:cs="Times New Roman"/>
          <w:sz w:val="28"/>
          <w:szCs w:val="28"/>
        </w:rPr>
        <w:t xml:space="preserve"> На один среднестатистический контракт приходится не менее: 6 обязательств; 12 документов; более 30 контрольных сроков. УК позволяет снять всю рутинную работу по расчету и контролю таких сроков.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В случае нарушения исполнителем обязательств по контракту УК позволяет направить через ПИК требование об оплате неустойки и контролировать его исполнение, в том числе, удержать неустойку из оплаты </w:t>
      </w:r>
      <w:r w:rsidRPr="009A5CF7">
        <w:rPr>
          <w:rFonts w:ascii="Times New Roman" w:eastAsia="Calibri" w:hAnsi="Times New Roman" w:cs="Times New Roman"/>
          <w:sz w:val="28"/>
          <w:szCs w:val="28"/>
        </w:rPr>
        <w:lastRenderedPageBreak/>
        <w:t>(если такое условие предусмотрено контрактом). Контроль сроков исполнения обязательств, а также установленная КоАП Московской области ответственность на неведение претензионной работы позволили увеличить долю предъявления требований неустойки с 25% в 2020 году до 80% в 2021 году и до 90% в 2022 году (по состоянию на 22.04.2022).</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Через ПИК до 01.01.2022 можно было также направить решение об одностороннем отказе от исполнения обязательств. С 2022 года такая возможность исключена, вместе с этим через ПИК контролируются все действия заказчика в отношении одностороннего отказа.</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4. В ходе исполнения контракта</w:t>
      </w:r>
      <w:r w:rsidRPr="009A5CF7">
        <w:rPr>
          <w:rFonts w:ascii="Times New Roman" w:eastAsia="Calibri" w:hAnsi="Times New Roman" w:cs="Times New Roman"/>
          <w:sz w:val="28"/>
          <w:szCs w:val="28"/>
        </w:rPr>
        <w:t xml:space="preserve"> требуется направление документов и сведений в Реестр контрактов ЕИС. До разработки ПИК, порядка 25% всех выявляемых в ходе плановых проверок нарушений касалось именно таких сроков.</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Технология УК позволяет исключать такие нарушения поскольку после подписания ЭЦП документы автоматизировано передаются в региональную информационную систему закупок Московской области (ЕАСУЗ) и далее в ЕИС. Такие документы нельзя потерять, исказить, подменить (передается полный электронный контейнер документа, с файлом подписи).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5. Умная интеграция ПИК со смежными информационными системами.</w:t>
      </w:r>
      <w:r w:rsidRPr="009A5CF7">
        <w:rPr>
          <w:rFonts w:ascii="Times New Roman" w:eastAsia="Calibri" w:hAnsi="Times New Roman" w:cs="Times New Roman"/>
          <w:sz w:val="28"/>
          <w:szCs w:val="28"/>
        </w:rPr>
        <w:t xml:space="preserve">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Первичные учетные документы, подписываемые в ПИК, необходимы для проверки при осуществлении финансового контроля, для ведения бухгалтерского и бюджетного учета. В этой связи важна интеграция ПИК с указанными системами.</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 xml:space="preserve">ПИК и Электронное актирование ЕИС. </w:t>
      </w:r>
      <w:r w:rsidRPr="009A5CF7">
        <w:rPr>
          <w:rFonts w:ascii="Times New Roman" w:eastAsia="Calibri" w:hAnsi="Times New Roman" w:cs="Times New Roman"/>
          <w:sz w:val="28"/>
          <w:szCs w:val="28"/>
        </w:rPr>
        <w:t>В период с 2020 по 2021 год на основе подписанного протокола и дорожной карты была проведена совместная работа с Федеральным казначейством в рамках разработки в ЕИС функционала Электронного актирования. Результатом работы стал функционал по интеграции ПИК и ЕИС, позволяющий направлять документы приемки на подписание из ПИК в ЕИС. Пилотное внедрение функционала проведено в 2021 году. В 2022 году интеграционный функционал работает в отношении всех требуемых случаев подписания документов приемки через ЕИС.</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ЕАСУЗ.</w:t>
      </w:r>
      <w:r w:rsidRPr="009A5CF7">
        <w:rPr>
          <w:rFonts w:ascii="Times New Roman" w:eastAsia="Calibri" w:hAnsi="Times New Roman" w:cs="Times New Roman"/>
          <w:sz w:val="28"/>
          <w:szCs w:val="28"/>
        </w:rPr>
        <w:t xml:space="preserve"> Первым ПИК интегрировался с ЕАСУЗ (региональная информационная система в сфере закупок Московской области). Через ЕАСУЗ идет передача документов в ЕИС (до 31.12.2021 – по всем контрактам, а с 01.01.2022 по контрактам, где не будет электронного актирования).</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 xml:space="preserve">ГИС РЭБ. </w:t>
      </w:r>
      <w:r w:rsidRPr="009A5CF7">
        <w:rPr>
          <w:rFonts w:ascii="Times New Roman" w:eastAsia="Calibri" w:hAnsi="Times New Roman" w:cs="Times New Roman"/>
          <w:sz w:val="28"/>
          <w:szCs w:val="28"/>
        </w:rPr>
        <w:t>В систему регионального электронного бюджета документы передаются с сентября 2021 года напрямую из ПИК (ранее шли через ЕАСУЗ). В ГИС РЭБ происходит присвоение денежных обязательств ДО. После прохождения необходимых процедур санкционирования ДО и оплаты – осуществляется оплата и платежное поручение с отметкой о его исполнении передается автоматизировано из ГИС РЭБ в ПИК.</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b/>
          <w:bCs/>
          <w:sz w:val="28"/>
          <w:szCs w:val="28"/>
        </w:rPr>
        <w:t>Бухгалтерские системы.</w:t>
      </w:r>
      <w:r w:rsidRPr="009A5CF7">
        <w:rPr>
          <w:rFonts w:ascii="Times New Roman" w:eastAsia="Calibri" w:hAnsi="Times New Roman" w:cs="Times New Roman"/>
          <w:sz w:val="28"/>
          <w:szCs w:val="28"/>
        </w:rPr>
        <w:t xml:space="preserve"> Важным шагом явилась интеграция ПИК с бухгалтерскими системами, основными из которых в регионе (и ОМСУ) </w:t>
      </w:r>
      <w:r w:rsidRPr="009A5CF7">
        <w:rPr>
          <w:rFonts w:ascii="Times New Roman" w:eastAsia="Calibri" w:hAnsi="Times New Roman" w:cs="Times New Roman"/>
          <w:sz w:val="28"/>
          <w:szCs w:val="28"/>
        </w:rPr>
        <w:lastRenderedPageBreak/>
        <w:t xml:space="preserve">являются 1С, Парус, ЕИСБУ. Первой интеграция прошла с ЕИСБУ (на которой работает централизованная бухгалтерия заказчиков Московской области).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Второй, но наиболее значимой и функционально полной явилась интеграция ПИК с 1С БГУ 2.0. Это наиболее распространенная система в регионе и ОМСУ, на которой работают многие централизованные бухгалтерии ОМСУ. Интеграционный модуль был разработан Мособлконтролем в 2019 году и его функциональность поистине впечатляет: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 вся информация (с момента публикации извещения о закупке, затем с момента заключения контракта) и документы поступают в бухгалтерию заказчика автоматизировано;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 электронные документы (контейнеры с электронной подписью), загружаются в электронные хранилища 1С, нет необходимости заваливать архивы бумажными документами; </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сведения из электронных документов автоматизировано вносятся в регистры бухучета. Это дает колоссальный эффект ресурсосбережения сотрудников бухгалтерии. Исчезают горы бумаги и часы ненужной работы по копированию, прошиванию, заверению документов. Документы не теряются, их невозможно подменить, исказить.</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Таким образом бухгалтерии заказчиков и централизованные бухгалтерии, являющиеся наиболее консервативным звеном в системе цифровизации, получив технологическую возможность интеграции с ПИК ЕАСУЗ, постепенно сами становятся движущей силой дальнейшего развития функциональности ПИК. Клиент-ориентированность ПИК дает свои результаты.</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Не осталась в стороне и корпорация ПАРУС, которой проделан большой объем работы по разработке модуля интеграции ПАРУС с ПИК (для версии 8.0). В 2021 году (с августа) ПАРУС провел успешное пилотное внедрение разработанного модуля для централизованных бухгалтерий двух городских округов. На 2022 год подготовлен план внедрения еще в 6 городских округах, работающих на ПАРУС.</w:t>
      </w:r>
    </w:p>
    <w:p w:rsidR="009A5CF7" w:rsidRPr="009A5CF7" w:rsidRDefault="009A5CF7" w:rsidP="009A5CF7">
      <w:pPr>
        <w:spacing w:after="0" w:line="240" w:lineRule="auto"/>
        <w:ind w:firstLine="567"/>
        <w:jc w:val="both"/>
        <w:rPr>
          <w:rFonts w:ascii="Times New Roman" w:eastAsia="Calibri" w:hAnsi="Times New Roman" w:cs="Times New Roman"/>
          <w:b/>
          <w:bCs/>
          <w:sz w:val="28"/>
          <w:szCs w:val="28"/>
        </w:rPr>
      </w:pPr>
      <w:r w:rsidRPr="009A5CF7">
        <w:rPr>
          <w:rFonts w:ascii="Times New Roman" w:eastAsia="Calibri" w:hAnsi="Times New Roman" w:cs="Times New Roman"/>
          <w:b/>
          <w:bCs/>
          <w:sz w:val="28"/>
          <w:szCs w:val="28"/>
        </w:rPr>
        <w:t>6. Краткие выводы.</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Технология УК позволяет кардинальным образом улучшить контрактную дисциплину, повысить эффективность этапа исполнения контракта. Впервые в регионе от «ручной сборки» проектов контрактов перешли к «конвейерной». В свое время Генри Форд сделал тоже самое для производства автомобилей.</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 xml:space="preserve">Технология Умного контракта, реализованная в ПИК, является состоявшейся реальностью. Ее использование позволяет получать необходимую информацию в реальном режиме времени, вся статистика берется из подписанных документов (является достоверной) и формируется </w:t>
      </w:r>
      <w:r w:rsidRPr="009A5CF7">
        <w:rPr>
          <w:rFonts w:ascii="Times New Roman" w:eastAsia="Calibri" w:hAnsi="Times New Roman" w:cs="Times New Roman"/>
          <w:sz w:val="28"/>
          <w:szCs w:val="28"/>
          <w:lang w:val="en-US"/>
        </w:rPr>
        <w:t>on</w:t>
      </w:r>
      <w:r w:rsidRPr="009A5CF7">
        <w:rPr>
          <w:rFonts w:ascii="Times New Roman" w:eastAsia="Calibri" w:hAnsi="Times New Roman" w:cs="Times New Roman"/>
          <w:sz w:val="28"/>
          <w:szCs w:val="28"/>
        </w:rPr>
        <w:t>-</w:t>
      </w:r>
      <w:r w:rsidRPr="009A5CF7">
        <w:rPr>
          <w:rFonts w:ascii="Times New Roman" w:eastAsia="Calibri" w:hAnsi="Times New Roman" w:cs="Times New Roman"/>
          <w:sz w:val="28"/>
          <w:szCs w:val="28"/>
          <w:lang w:val="en-US"/>
        </w:rPr>
        <w:t>line</w:t>
      </w:r>
      <w:r w:rsidRPr="009A5CF7">
        <w:rPr>
          <w:rFonts w:ascii="Times New Roman" w:eastAsia="Calibri" w:hAnsi="Times New Roman" w:cs="Times New Roman"/>
          <w:sz w:val="28"/>
          <w:szCs w:val="28"/>
        </w:rPr>
        <w:t xml:space="preserve"> (является оперативной).</w:t>
      </w: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При этом важно отметить, что технология УК позволяет не только создать удобства для контрагентов, но также позволяет улучшить основные показатели исполнения контрактов, которые приводим в таблице ниже.</w:t>
      </w:r>
    </w:p>
    <w:tbl>
      <w:tblPr>
        <w:tblW w:w="10195" w:type="dxa"/>
        <w:tblInd w:w="-294" w:type="dxa"/>
        <w:tblCellMar>
          <w:left w:w="0" w:type="dxa"/>
          <w:right w:w="0" w:type="dxa"/>
        </w:tblCellMar>
        <w:tblLook w:val="0600" w:firstRow="0" w:lastRow="0" w:firstColumn="0" w:lastColumn="0" w:noHBand="1" w:noVBand="1"/>
      </w:tblPr>
      <w:tblGrid>
        <w:gridCol w:w="6238"/>
        <w:gridCol w:w="992"/>
        <w:gridCol w:w="992"/>
        <w:gridCol w:w="993"/>
        <w:gridCol w:w="980"/>
      </w:tblGrid>
      <w:tr w:rsidR="009A5CF7" w:rsidRPr="009A5CF7" w:rsidTr="00E30AD3">
        <w:trPr>
          <w:trHeight w:val="550"/>
        </w:trPr>
        <w:tc>
          <w:tcPr>
            <w:tcW w:w="6238" w:type="dxa"/>
            <w:tcBorders>
              <w:top w:val="single" w:sz="8" w:space="0" w:color="000000"/>
              <w:left w:val="single" w:sz="8" w:space="0" w:color="000000"/>
              <w:bottom w:val="single" w:sz="8" w:space="0" w:color="000000"/>
              <w:right w:val="single" w:sz="8" w:space="0" w:color="000000"/>
            </w:tcBorders>
            <w:shd w:val="clear" w:color="auto" w:fill="DAE3F3"/>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4"/>
                <w:szCs w:val="24"/>
                <w:lang w:eastAsia="ru-RU"/>
              </w:rPr>
            </w:pPr>
            <w:r w:rsidRPr="009A5CF7">
              <w:rPr>
                <w:rFonts w:ascii="Calibri" w:eastAsia="Times New Roman" w:hAnsi="Calibri" w:cs="Arial"/>
                <w:b/>
                <w:bCs/>
                <w:color w:val="000000"/>
                <w:kern w:val="24"/>
                <w:sz w:val="24"/>
                <w:szCs w:val="24"/>
                <w:lang w:eastAsia="ru-RU"/>
              </w:rPr>
              <w:lastRenderedPageBreak/>
              <w:t>Показатель</w:t>
            </w:r>
          </w:p>
        </w:tc>
        <w:tc>
          <w:tcPr>
            <w:tcW w:w="992" w:type="dxa"/>
            <w:tcBorders>
              <w:top w:val="single" w:sz="8" w:space="0" w:color="000000"/>
              <w:left w:val="single" w:sz="8" w:space="0" w:color="000000"/>
              <w:bottom w:val="single" w:sz="8" w:space="0" w:color="000000"/>
              <w:right w:val="single" w:sz="8" w:space="0" w:color="000000"/>
            </w:tcBorders>
            <w:shd w:val="clear" w:color="auto" w:fill="DAE3F3"/>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4"/>
                <w:szCs w:val="24"/>
                <w:lang w:eastAsia="ru-RU"/>
              </w:rPr>
            </w:pPr>
            <w:r w:rsidRPr="009A5CF7">
              <w:rPr>
                <w:rFonts w:ascii="Calibri" w:eastAsia="Times New Roman" w:hAnsi="Calibri" w:cs="Arial"/>
                <w:b/>
                <w:bCs/>
                <w:color w:val="000000"/>
                <w:kern w:val="24"/>
                <w:sz w:val="24"/>
                <w:szCs w:val="24"/>
                <w:lang w:eastAsia="ru-RU"/>
              </w:rPr>
              <w:t>2019 г.</w:t>
            </w:r>
          </w:p>
        </w:tc>
        <w:tc>
          <w:tcPr>
            <w:tcW w:w="992" w:type="dxa"/>
            <w:tcBorders>
              <w:top w:val="single" w:sz="8" w:space="0" w:color="000000"/>
              <w:left w:val="single" w:sz="8" w:space="0" w:color="000000"/>
              <w:bottom w:val="single" w:sz="8" w:space="0" w:color="000000"/>
              <w:right w:val="single" w:sz="8" w:space="0" w:color="000000"/>
            </w:tcBorders>
            <w:shd w:val="clear" w:color="auto" w:fill="DAE3F3"/>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4"/>
                <w:szCs w:val="24"/>
                <w:lang w:eastAsia="ru-RU"/>
              </w:rPr>
            </w:pPr>
            <w:r w:rsidRPr="009A5CF7">
              <w:rPr>
                <w:rFonts w:ascii="Calibri" w:eastAsia="Times New Roman" w:hAnsi="Calibri" w:cs="Arial"/>
                <w:b/>
                <w:bCs/>
                <w:color w:val="000000"/>
                <w:kern w:val="24"/>
                <w:sz w:val="24"/>
                <w:szCs w:val="24"/>
                <w:lang w:eastAsia="ru-RU"/>
              </w:rPr>
              <w:t>2020 г.</w:t>
            </w:r>
          </w:p>
        </w:tc>
        <w:tc>
          <w:tcPr>
            <w:tcW w:w="993" w:type="dxa"/>
            <w:tcBorders>
              <w:top w:val="single" w:sz="8" w:space="0" w:color="000000"/>
              <w:left w:val="single" w:sz="8" w:space="0" w:color="000000"/>
              <w:bottom w:val="single" w:sz="8" w:space="0" w:color="000000"/>
              <w:right w:val="single" w:sz="8" w:space="0" w:color="000000"/>
            </w:tcBorders>
            <w:shd w:val="clear" w:color="auto" w:fill="DAE3F3"/>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4"/>
                <w:szCs w:val="24"/>
                <w:lang w:eastAsia="ru-RU"/>
              </w:rPr>
            </w:pPr>
            <w:r w:rsidRPr="009A5CF7">
              <w:rPr>
                <w:rFonts w:ascii="Calibri" w:eastAsia="Times New Roman" w:hAnsi="Calibri" w:cs="Arial"/>
                <w:b/>
                <w:bCs/>
                <w:kern w:val="24"/>
                <w:sz w:val="24"/>
                <w:szCs w:val="24"/>
                <w:lang w:eastAsia="ru-RU"/>
              </w:rPr>
              <w:t>2021 г.</w:t>
            </w:r>
          </w:p>
        </w:tc>
        <w:tc>
          <w:tcPr>
            <w:tcW w:w="980" w:type="dxa"/>
            <w:tcBorders>
              <w:top w:val="single" w:sz="8" w:space="0" w:color="000000"/>
              <w:left w:val="single" w:sz="8" w:space="0" w:color="000000"/>
              <w:bottom w:val="single" w:sz="8" w:space="0" w:color="000000"/>
              <w:right w:val="single" w:sz="8" w:space="0" w:color="000000"/>
            </w:tcBorders>
            <w:shd w:val="clear" w:color="auto" w:fill="DAE3F3"/>
            <w:vAlign w:val="center"/>
          </w:tcPr>
          <w:p w:rsidR="009A5CF7" w:rsidRPr="009A5CF7" w:rsidRDefault="009A5CF7" w:rsidP="009A5CF7">
            <w:pPr>
              <w:spacing w:after="0" w:line="276" w:lineRule="auto"/>
              <w:jc w:val="center"/>
              <w:textAlignment w:val="baseline"/>
              <w:rPr>
                <w:rFonts w:ascii="Calibri" w:eastAsia="Times New Roman" w:hAnsi="Calibri" w:cs="Arial"/>
                <w:b/>
                <w:bCs/>
                <w:kern w:val="24"/>
                <w:sz w:val="24"/>
                <w:szCs w:val="24"/>
                <w:lang w:eastAsia="ru-RU"/>
              </w:rPr>
            </w:pPr>
            <w:r w:rsidRPr="009A5CF7">
              <w:rPr>
                <w:rFonts w:ascii="Calibri" w:eastAsia="Times New Roman" w:hAnsi="Calibri" w:cs="Arial"/>
                <w:b/>
                <w:bCs/>
                <w:kern w:val="24"/>
                <w:sz w:val="24"/>
                <w:szCs w:val="24"/>
                <w:lang w:eastAsia="ru-RU"/>
              </w:rPr>
              <w:t>2022 г. на 22.04</w:t>
            </w:r>
          </w:p>
        </w:tc>
      </w:tr>
      <w:tr w:rsidR="009A5CF7" w:rsidRPr="009A5CF7" w:rsidTr="00E30AD3">
        <w:trPr>
          <w:trHeight w:val="364"/>
        </w:trPr>
        <w:tc>
          <w:tcPr>
            <w:tcW w:w="6238"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textAlignment w:val="baseline"/>
              <w:rPr>
                <w:rFonts w:ascii="Arial" w:eastAsia="Times New Roman" w:hAnsi="Arial" w:cs="Arial"/>
                <w:sz w:val="28"/>
                <w:szCs w:val="28"/>
                <w:lang w:eastAsia="ru-RU"/>
              </w:rPr>
            </w:pPr>
            <w:r w:rsidRPr="009A5CF7">
              <w:rPr>
                <w:rFonts w:ascii="Calibri" w:eastAsia="Calibri" w:hAnsi="Calibri" w:cs="Times New Roman"/>
                <w:b/>
                <w:bCs/>
                <w:color w:val="002060"/>
                <w:kern w:val="24"/>
                <w:sz w:val="28"/>
                <w:szCs w:val="28"/>
                <w:lang w:eastAsia="ru-RU"/>
              </w:rPr>
              <w:t xml:space="preserve"> Доля нарушений </w:t>
            </w:r>
            <w:r w:rsidRPr="009A5CF7">
              <w:rPr>
                <w:rFonts w:ascii="Calibri" w:eastAsia="Calibri" w:hAnsi="Calibri" w:cs="Times New Roman"/>
                <w:b/>
                <w:bCs/>
                <w:color w:val="FF0000"/>
                <w:kern w:val="24"/>
                <w:sz w:val="28"/>
                <w:szCs w:val="28"/>
                <w:lang w:eastAsia="ru-RU"/>
              </w:rPr>
              <w:t>сроков поставки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15,5%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7,2%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52" w:lineRule="auto"/>
              <w:jc w:val="center"/>
              <w:rPr>
                <w:rFonts w:ascii="Arial" w:eastAsia="Times New Roman" w:hAnsi="Arial" w:cs="Arial"/>
                <w:sz w:val="26"/>
                <w:szCs w:val="26"/>
                <w:lang w:eastAsia="ru-RU"/>
              </w:rPr>
            </w:pPr>
            <w:r w:rsidRPr="009A5CF7">
              <w:rPr>
                <w:rFonts w:ascii="Calibri" w:eastAsia="Times New Roman" w:hAnsi="Calibri" w:cs="Calibri"/>
                <w:b/>
                <w:bCs/>
                <w:color w:val="3B3838"/>
                <w:kern w:val="24"/>
                <w:sz w:val="26"/>
                <w:szCs w:val="26"/>
                <w:lang w:eastAsia="ru-RU"/>
              </w:rPr>
              <w:t>3,3%</w:t>
            </w:r>
          </w:p>
        </w:tc>
        <w:tc>
          <w:tcPr>
            <w:tcW w:w="980" w:type="dxa"/>
            <w:tcBorders>
              <w:top w:val="single" w:sz="8" w:space="0" w:color="000000"/>
              <w:left w:val="single" w:sz="8" w:space="0" w:color="000000"/>
              <w:bottom w:val="single" w:sz="8" w:space="0" w:color="000000"/>
              <w:right w:val="single" w:sz="8" w:space="0" w:color="000000"/>
            </w:tcBorders>
          </w:tcPr>
          <w:p w:rsidR="009A5CF7" w:rsidRPr="009A5CF7" w:rsidRDefault="009A5CF7" w:rsidP="009A5CF7">
            <w:pPr>
              <w:spacing w:after="0" w:line="252" w:lineRule="auto"/>
              <w:jc w:val="center"/>
              <w:rPr>
                <w:rFonts w:ascii="Calibri" w:eastAsia="Times New Roman" w:hAnsi="Calibri" w:cs="Calibri"/>
                <w:b/>
                <w:bCs/>
                <w:color w:val="3B3838"/>
                <w:kern w:val="24"/>
                <w:sz w:val="26"/>
                <w:szCs w:val="26"/>
                <w:lang w:eastAsia="ru-RU"/>
              </w:rPr>
            </w:pPr>
            <w:r w:rsidRPr="009A5CF7">
              <w:rPr>
                <w:rFonts w:ascii="Calibri" w:eastAsia="Times New Roman" w:hAnsi="Calibri" w:cs="Calibri"/>
                <w:b/>
                <w:bCs/>
                <w:color w:val="3B3838"/>
                <w:kern w:val="24"/>
                <w:sz w:val="26"/>
                <w:szCs w:val="26"/>
                <w:lang w:eastAsia="ru-RU"/>
              </w:rPr>
              <w:t>2,6</w:t>
            </w:r>
          </w:p>
        </w:tc>
      </w:tr>
      <w:tr w:rsidR="009A5CF7" w:rsidRPr="009A5CF7" w:rsidTr="00E30AD3">
        <w:trPr>
          <w:trHeight w:val="371"/>
        </w:trPr>
        <w:tc>
          <w:tcPr>
            <w:tcW w:w="6238"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textAlignment w:val="baseline"/>
              <w:rPr>
                <w:rFonts w:ascii="Arial" w:eastAsia="Times New Roman" w:hAnsi="Arial" w:cs="Arial"/>
                <w:sz w:val="28"/>
                <w:szCs w:val="28"/>
                <w:lang w:eastAsia="ru-RU"/>
              </w:rPr>
            </w:pPr>
            <w:r w:rsidRPr="009A5CF7">
              <w:rPr>
                <w:rFonts w:ascii="Calibri" w:eastAsia="Calibri" w:hAnsi="Calibri" w:cs="Times New Roman"/>
                <w:b/>
                <w:bCs/>
                <w:color w:val="002060"/>
                <w:kern w:val="24"/>
                <w:sz w:val="28"/>
                <w:szCs w:val="28"/>
                <w:lang w:eastAsia="ru-RU"/>
              </w:rPr>
              <w:t xml:space="preserve"> Доля нарушений </w:t>
            </w:r>
            <w:r w:rsidRPr="009A5CF7">
              <w:rPr>
                <w:rFonts w:ascii="Calibri" w:eastAsia="Calibri" w:hAnsi="Calibri" w:cs="Times New Roman"/>
                <w:b/>
                <w:bCs/>
                <w:color w:val="FF0000"/>
                <w:kern w:val="24"/>
                <w:sz w:val="28"/>
                <w:szCs w:val="28"/>
                <w:lang w:eastAsia="ru-RU"/>
              </w:rPr>
              <w:t>сроков приемки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1,8%</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52" w:lineRule="auto"/>
              <w:jc w:val="center"/>
              <w:rPr>
                <w:rFonts w:ascii="Arial" w:eastAsia="Times New Roman" w:hAnsi="Arial" w:cs="Arial"/>
                <w:sz w:val="26"/>
                <w:szCs w:val="26"/>
                <w:lang w:eastAsia="ru-RU"/>
              </w:rPr>
            </w:pPr>
            <w:r w:rsidRPr="009A5CF7">
              <w:rPr>
                <w:rFonts w:ascii="Calibri" w:eastAsia="Times New Roman" w:hAnsi="Calibri" w:cs="Calibri"/>
                <w:b/>
                <w:bCs/>
                <w:color w:val="3B3838"/>
                <w:kern w:val="24"/>
                <w:sz w:val="26"/>
                <w:szCs w:val="26"/>
                <w:lang w:eastAsia="ru-RU"/>
              </w:rPr>
              <w:t>0,9%</w:t>
            </w:r>
          </w:p>
        </w:tc>
        <w:tc>
          <w:tcPr>
            <w:tcW w:w="980" w:type="dxa"/>
            <w:tcBorders>
              <w:top w:val="single" w:sz="8" w:space="0" w:color="000000"/>
              <w:left w:val="single" w:sz="8" w:space="0" w:color="000000"/>
              <w:bottom w:val="single" w:sz="8" w:space="0" w:color="000000"/>
              <w:right w:val="single" w:sz="8" w:space="0" w:color="000000"/>
            </w:tcBorders>
          </w:tcPr>
          <w:p w:rsidR="009A5CF7" w:rsidRPr="009A5CF7" w:rsidRDefault="009A5CF7" w:rsidP="009A5CF7">
            <w:pPr>
              <w:spacing w:after="0" w:line="252" w:lineRule="auto"/>
              <w:jc w:val="center"/>
              <w:rPr>
                <w:rFonts w:ascii="Calibri" w:eastAsia="Times New Roman" w:hAnsi="Calibri" w:cs="Calibri"/>
                <w:b/>
                <w:bCs/>
                <w:color w:val="3B3838"/>
                <w:kern w:val="24"/>
                <w:sz w:val="26"/>
                <w:szCs w:val="26"/>
                <w:lang w:eastAsia="ru-RU"/>
              </w:rPr>
            </w:pPr>
            <w:r w:rsidRPr="009A5CF7">
              <w:rPr>
                <w:rFonts w:ascii="Calibri" w:eastAsia="Times New Roman" w:hAnsi="Calibri" w:cs="Calibri"/>
                <w:b/>
                <w:bCs/>
                <w:color w:val="3B3838"/>
                <w:kern w:val="24"/>
                <w:sz w:val="26"/>
                <w:szCs w:val="26"/>
                <w:lang w:eastAsia="ru-RU"/>
              </w:rPr>
              <w:t>0,6</w:t>
            </w:r>
          </w:p>
        </w:tc>
      </w:tr>
      <w:tr w:rsidR="009A5CF7" w:rsidRPr="009A5CF7" w:rsidTr="00E30AD3">
        <w:trPr>
          <w:trHeight w:val="221"/>
        </w:trPr>
        <w:tc>
          <w:tcPr>
            <w:tcW w:w="6238"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textAlignment w:val="baseline"/>
              <w:rPr>
                <w:rFonts w:ascii="Arial" w:eastAsia="Times New Roman" w:hAnsi="Arial" w:cs="Arial"/>
                <w:sz w:val="28"/>
                <w:szCs w:val="28"/>
                <w:lang w:eastAsia="ru-RU"/>
              </w:rPr>
            </w:pPr>
            <w:r w:rsidRPr="009A5CF7">
              <w:rPr>
                <w:rFonts w:ascii="Calibri" w:eastAsia="Times New Roman" w:hAnsi="Calibri" w:cs="Times New Roman"/>
                <w:b/>
                <w:bCs/>
                <w:color w:val="002060"/>
                <w:kern w:val="24"/>
                <w:sz w:val="28"/>
                <w:szCs w:val="28"/>
                <w:lang w:eastAsia="ru-RU"/>
              </w:rPr>
              <w:t xml:space="preserve"> Доля нарушений </w:t>
            </w:r>
            <w:r w:rsidRPr="009A5CF7">
              <w:rPr>
                <w:rFonts w:ascii="Calibri" w:eastAsia="Times New Roman" w:hAnsi="Calibri" w:cs="Times New Roman"/>
                <w:b/>
                <w:bCs/>
                <w:color w:val="FF0000"/>
                <w:kern w:val="24"/>
                <w:sz w:val="28"/>
                <w:szCs w:val="28"/>
                <w:lang w:eastAsia="ru-RU"/>
              </w:rPr>
              <w:t>сроков оплаты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10,8%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Times New Roman"/>
                <w:b/>
                <w:bCs/>
                <w:color w:val="002060"/>
                <w:kern w:val="24"/>
                <w:sz w:val="26"/>
                <w:szCs w:val="26"/>
                <w:lang w:eastAsia="ru-RU"/>
              </w:rPr>
              <w:t>7,1%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52" w:lineRule="auto"/>
              <w:jc w:val="center"/>
              <w:rPr>
                <w:rFonts w:ascii="Arial" w:eastAsia="Times New Roman" w:hAnsi="Arial" w:cs="Arial"/>
                <w:sz w:val="26"/>
                <w:szCs w:val="26"/>
                <w:lang w:eastAsia="ru-RU"/>
              </w:rPr>
            </w:pPr>
            <w:r w:rsidRPr="009A5CF7">
              <w:rPr>
                <w:rFonts w:ascii="Calibri" w:eastAsia="Times New Roman" w:hAnsi="Calibri" w:cs="Calibri"/>
                <w:b/>
                <w:bCs/>
                <w:color w:val="3B3838"/>
                <w:kern w:val="24"/>
                <w:sz w:val="26"/>
                <w:szCs w:val="26"/>
                <w:lang w:eastAsia="ru-RU"/>
              </w:rPr>
              <w:t>2,1%</w:t>
            </w:r>
          </w:p>
        </w:tc>
        <w:tc>
          <w:tcPr>
            <w:tcW w:w="980" w:type="dxa"/>
            <w:tcBorders>
              <w:top w:val="single" w:sz="8" w:space="0" w:color="000000"/>
              <w:left w:val="single" w:sz="8" w:space="0" w:color="000000"/>
              <w:bottom w:val="single" w:sz="8" w:space="0" w:color="000000"/>
              <w:right w:val="single" w:sz="8" w:space="0" w:color="000000"/>
            </w:tcBorders>
          </w:tcPr>
          <w:p w:rsidR="009A5CF7" w:rsidRPr="009A5CF7" w:rsidRDefault="009A5CF7" w:rsidP="009A5CF7">
            <w:pPr>
              <w:spacing w:after="0" w:line="252" w:lineRule="auto"/>
              <w:jc w:val="center"/>
              <w:rPr>
                <w:rFonts w:ascii="Calibri" w:eastAsia="Times New Roman" w:hAnsi="Calibri" w:cs="Calibri"/>
                <w:b/>
                <w:bCs/>
                <w:color w:val="3B3838"/>
                <w:kern w:val="24"/>
                <w:sz w:val="26"/>
                <w:szCs w:val="26"/>
                <w:lang w:eastAsia="ru-RU"/>
              </w:rPr>
            </w:pPr>
            <w:r w:rsidRPr="009A5CF7">
              <w:rPr>
                <w:rFonts w:ascii="Calibri" w:eastAsia="Times New Roman" w:hAnsi="Calibri" w:cs="Calibri"/>
                <w:b/>
                <w:bCs/>
                <w:color w:val="3B3838"/>
                <w:kern w:val="24"/>
                <w:sz w:val="26"/>
                <w:szCs w:val="26"/>
                <w:lang w:eastAsia="ru-RU"/>
              </w:rPr>
              <w:t>1,6</w:t>
            </w:r>
          </w:p>
        </w:tc>
      </w:tr>
      <w:tr w:rsidR="009A5CF7" w:rsidRPr="009A5CF7" w:rsidTr="00E30AD3">
        <w:trPr>
          <w:trHeight w:val="221"/>
        </w:trPr>
        <w:tc>
          <w:tcPr>
            <w:tcW w:w="6238"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tcPr>
          <w:p w:rsidR="009A5CF7" w:rsidRPr="009A5CF7" w:rsidRDefault="009A5CF7" w:rsidP="009A5CF7">
            <w:pPr>
              <w:spacing w:after="0" w:line="276" w:lineRule="auto"/>
              <w:textAlignment w:val="baseline"/>
              <w:rPr>
                <w:rFonts w:ascii="Calibri" w:eastAsia="Times New Roman" w:hAnsi="Calibri" w:cs="Times New Roman"/>
                <w:b/>
                <w:bCs/>
                <w:color w:val="002060"/>
                <w:kern w:val="24"/>
                <w:sz w:val="28"/>
                <w:szCs w:val="28"/>
                <w:lang w:eastAsia="ru-RU"/>
              </w:rPr>
            </w:pPr>
            <w:r w:rsidRPr="009A5CF7">
              <w:rPr>
                <w:rFonts w:ascii="Calibri" w:eastAsia="Times New Roman" w:hAnsi="Calibri" w:cs="Times New Roman"/>
                <w:b/>
                <w:bCs/>
                <w:color w:val="002060"/>
                <w:kern w:val="24"/>
                <w:sz w:val="28"/>
                <w:szCs w:val="28"/>
                <w:lang w:eastAsia="ru-RU"/>
              </w:rPr>
              <w:t xml:space="preserve"> Сроки на оплату </w:t>
            </w:r>
            <w:r w:rsidRPr="009A5CF7">
              <w:rPr>
                <w:rFonts w:ascii="Calibri" w:eastAsia="Times New Roman" w:hAnsi="Calibri" w:cs="Times New Roman"/>
                <w:b/>
                <w:bCs/>
                <w:color w:val="FF0000"/>
                <w:kern w:val="24"/>
                <w:sz w:val="28"/>
                <w:szCs w:val="28"/>
                <w:lang w:eastAsia="ru-RU"/>
              </w:rPr>
              <w:t>(рабочие дни)</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A5CF7" w:rsidRPr="009A5CF7" w:rsidRDefault="009A5CF7" w:rsidP="009A5CF7">
            <w:pPr>
              <w:spacing w:after="0" w:line="276" w:lineRule="auto"/>
              <w:jc w:val="center"/>
              <w:textAlignment w:val="baseline"/>
              <w:rPr>
                <w:rFonts w:ascii="Calibri" w:eastAsia="Calibri" w:hAnsi="Calibri" w:cs="Times New Roman"/>
                <w:b/>
                <w:bCs/>
                <w:color w:val="002060"/>
                <w:kern w:val="24"/>
                <w:sz w:val="26"/>
                <w:szCs w:val="26"/>
                <w:lang w:eastAsia="ru-RU"/>
              </w:rPr>
            </w:pPr>
            <w:r w:rsidRPr="009A5CF7">
              <w:rPr>
                <w:rFonts w:ascii="Calibri" w:eastAsia="Calibri" w:hAnsi="Calibri" w:cs="Times New Roman"/>
                <w:b/>
                <w:bCs/>
                <w:color w:val="002060"/>
                <w:kern w:val="24"/>
                <w:sz w:val="26"/>
                <w:szCs w:val="26"/>
                <w:lang w:eastAsia="ru-RU"/>
              </w:rP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tcPr>
          <w:p w:rsidR="009A5CF7" w:rsidRPr="009A5CF7" w:rsidRDefault="009A5CF7" w:rsidP="009A5CF7">
            <w:pPr>
              <w:spacing w:after="0" w:line="276" w:lineRule="auto"/>
              <w:jc w:val="center"/>
              <w:textAlignment w:val="baseline"/>
              <w:rPr>
                <w:rFonts w:ascii="Calibri" w:eastAsia="Calibri" w:hAnsi="Calibri" w:cs="Times New Roman"/>
                <w:b/>
                <w:bCs/>
                <w:color w:val="002060"/>
                <w:kern w:val="24"/>
                <w:sz w:val="26"/>
                <w:szCs w:val="26"/>
                <w:lang w:eastAsia="ru-RU"/>
              </w:rPr>
            </w:pPr>
            <w:r w:rsidRPr="009A5CF7">
              <w:rPr>
                <w:rFonts w:ascii="Calibri" w:eastAsia="Calibri" w:hAnsi="Calibri" w:cs="Times New Roman"/>
                <w:b/>
                <w:bCs/>
                <w:color w:val="002060"/>
                <w:kern w:val="24"/>
                <w:sz w:val="26"/>
                <w:szCs w:val="26"/>
                <w:lang w:eastAsia="ru-RU"/>
              </w:rPr>
              <w:t>6,9</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A5CF7" w:rsidRPr="009A5CF7" w:rsidRDefault="009A5CF7" w:rsidP="009A5CF7">
            <w:pPr>
              <w:spacing w:after="0" w:line="252" w:lineRule="auto"/>
              <w:jc w:val="center"/>
              <w:rPr>
                <w:rFonts w:ascii="Calibri" w:eastAsia="Times New Roman" w:hAnsi="Calibri" w:cs="Calibri"/>
                <w:b/>
                <w:bCs/>
                <w:color w:val="3B3838"/>
                <w:kern w:val="24"/>
                <w:sz w:val="26"/>
                <w:szCs w:val="26"/>
                <w:lang w:eastAsia="ru-RU"/>
              </w:rPr>
            </w:pPr>
            <w:r w:rsidRPr="009A5CF7">
              <w:rPr>
                <w:rFonts w:ascii="Calibri" w:eastAsia="Times New Roman" w:hAnsi="Calibri" w:cs="Calibri"/>
                <w:b/>
                <w:bCs/>
                <w:color w:val="3B3838"/>
                <w:kern w:val="24"/>
                <w:sz w:val="26"/>
                <w:szCs w:val="26"/>
                <w:lang w:eastAsia="ru-RU"/>
              </w:rPr>
              <w:t>4,2</w:t>
            </w:r>
          </w:p>
        </w:tc>
        <w:tc>
          <w:tcPr>
            <w:tcW w:w="980" w:type="dxa"/>
            <w:tcBorders>
              <w:top w:val="single" w:sz="8" w:space="0" w:color="000000"/>
              <w:left w:val="single" w:sz="8" w:space="0" w:color="000000"/>
              <w:bottom w:val="single" w:sz="8" w:space="0" w:color="000000"/>
              <w:right w:val="single" w:sz="8" w:space="0" w:color="000000"/>
            </w:tcBorders>
          </w:tcPr>
          <w:p w:rsidR="009A5CF7" w:rsidRPr="009A5CF7" w:rsidRDefault="009A5CF7" w:rsidP="009A5CF7">
            <w:pPr>
              <w:spacing w:after="0" w:line="252" w:lineRule="auto"/>
              <w:jc w:val="center"/>
              <w:rPr>
                <w:rFonts w:ascii="Calibri" w:eastAsia="Times New Roman" w:hAnsi="Calibri" w:cs="Calibri"/>
                <w:b/>
                <w:bCs/>
                <w:color w:val="3B3838"/>
                <w:kern w:val="24"/>
                <w:sz w:val="26"/>
                <w:szCs w:val="26"/>
                <w:lang w:eastAsia="ru-RU"/>
              </w:rPr>
            </w:pPr>
            <w:r w:rsidRPr="009A5CF7">
              <w:rPr>
                <w:rFonts w:ascii="Calibri" w:eastAsia="Times New Roman" w:hAnsi="Calibri" w:cs="Calibri"/>
                <w:b/>
                <w:bCs/>
                <w:color w:val="3B3838"/>
                <w:kern w:val="24"/>
                <w:sz w:val="26"/>
                <w:szCs w:val="26"/>
                <w:lang w:eastAsia="ru-RU"/>
              </w:rPr>
              <w:t>3,1</w:t>
            </w:r>
          </w:p>
        </w:tc>
      </w:tr>
      <w:tr w:rsidR="009A5CF7" w:rsidRPr="009A5CF7" w:rsidTr="00E30AD3">
        <w:trPr>
          <w:trHeight w:val="526"/>
        </w:trPr>
        <w:tc>
          <w:tcPr>
            <w:tcW w:w="6238"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40" w:lineRule="auto"/>
              <w:textAlignment w:val="baseline"/>
              <w:rPr>
                <w:rFonts w:ascii="Arial" w:eastAsia="Times New Roman" w:hAnsi="Arial" w:cs="Arial"/>
                <w:sz w:val="28"/>
                <w:szCs w:val="28"/>
                <w:lang w:eastAsia="ru-RU"/>
              </w:rPr>
            </w:pPr>
            <w:r w:rsidRPr="009A5CF7">
              <w:rPr>
                <w:rFonts w:ascii="Calibri" w:eastAsia="Calibri" w:hAnsi="Calibri" w:cs="Calibri"/>
                <w:b/>
                <w:bCs/>
                <w:color w:val="002060"/>
                <w:kern w:val="24"/>
                <w:sz w:val="28"/>
                <w:szCs w:val="28"/>
                <w:lang w:eastAsia="ru-RU"/>
              </w:rPr>
              <w:t xml:space="preserve"> Доля случаев </w:t>
            </w:r>
            <w:r w:rsidRPr="009A5CF7">
              <w:rPr>
                <w:rFonts w:ascii="Calibri" w:eastAsia="Calibri" w:hAnsi="Calibri" w:cs="Calibri"/>
                <w:b/>
                <w:bCs/>
                <w:color w:val="FF0000"/>
                <w:kern w:val="24"/>
                <w:sz w:val="28"/>
                <w:szCs w:val="28"/>
                <w:lang w:eastAsia="ru-RU"/>
              </w:rPr>
              <w:t>ведения претензионной работы</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Calibri"/>
                <w:b/>
                <w:bCs/>
                <w:color w:val="002060"/>
                <w:kern w:val="24"/>
                <w:sz w:val="26"/>
                <w:szCs w:val="26"/>
                <w:lang w:eastAsia="ru-RU"/>
              </w:rPr>
              <w:t>20,8%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1" w:type="dxa"/>
              <w:left w:w="51" w:type="dxa"/>
              <w:bottom w:w="0" w:type="dxa"/>
              <w:right w:w="51" w:type="dxa"/>
            </w:tcMar>
            <w:vAlign w:val="center"/>
            <w:hideMark/>
          </w:tcPr>
          <w:p w:rsidR="009A5CF7" w:rsidRPr="009A5CF7" w:rsidRDefault="009A5CF7" w:rsidP="009A5CF7">
            <w:pPr>
              <w:spacing w:after="0" w:line="276" w:lineRule="auto"/>
              <w:jc w:val="center"/>
              <w:textAlignment w:val="baseline"/>
              <w:rPr>
                <w:rFonts w:ascii="Arial" w:eastAsia="Times New Roman" w:hAnsi="Arial" w:cs="Arial"/>
                <w:sz w:val="26"/>
                <w:szCs w:val="26"/>
                <w:lang w:eastAsia="ru-RU"/>
              </w:rPr>
            </w:pPr>
            <w:r w:rsidRPr="009A5CF7">
              <w:rPr>
                <w:rFonts w:ascii="Calibri" w:eastAsia="Calibri" w:hAnsi="Calibri" w:cs="Calibri"/>
                <w:b/>
                <w:bCs/>
                <w:color w:val="002060"/>
                <w:kern w:val="24"/>
                <w:sz w:val="26"/>
                <w:szCs w:val="26"/>
                <w:lang w:eastAsia="ru-RU"/>
              </w:rPr>
              <w:t>25,5%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5CF7" w:rsidRPr="009A5CF7" w:rsidRDefault="009A5CF7" w:rsidP="009A5CF7">
            <w:pPr>
              <w:spacing w:after="0" w:line="252" w:lineRule="auto"/>
              <w:jc w:val="center"/>
              <w:rPr>
                <w:rFonts w:ascii="Arial" w:eastAsia="Times New Roman" w:hAnsi="Arial" w:cs="Arial"/>
                <w:sz w:val="26"/>
                <w:szCs w:val="26"/>
                <w:lang w:eastAsia="ru-RU"/>
              </w:rPr>
            </w:pPr>
            <w:r w:rsidRPr="009A5CF7">
              <w:rPr>
                <w:rFonts w:ascii="Calibri" w:eastAsia="Calibri" w:hAnsi="Calibri" w:cs="Calibri"/>
                <w:b/>
                <w:bCs/>
                <w:color w:val="3B3838"/>
                <w:kern w:val="24"/>
                <w:sz w:val="26"/>
                <w:szCs w:val="26"/>
                <w:lang w:eastAsia="ru-RU"/>
              </w:rPr>
              <w:t>80%</w:t>
            </w:r>
          </w:p>
        </w:tc>
        <w:tc>
          <w:tcPr>
            <w:tcW w:w="980" w:type="dxa"/>
            <w:tcBorders>
              <w:top w:val="single" w:sz="8" w:space="0" w:color="000000"/>
              <w:left w:val="single" w:sz="8" w:space="0" w:color="000000"/>
              <w:bottom w:val="single" w:sz="8" w:space="0" w:color="000000"/>
              <w:right w:val="single" w:sz="8" w:space="0" w:color="000000"/>
            </w:tcBorders>
            <w:vAlign w:val="center"/>
          </w:tcPr>
          <w:p w:rsidR="009A5CF7" w:rsidRPr="009A5CF7" w:rsidRDefault="009A5CF7" w:rsidP="009A5CF7">
            <w:pPr>
              <w:spacing w:after="0" w:line="252" w:lineRule="auto"/>
              <w:jc w:val="center"/>
              <w:rPr>
                <w:rFonts w:ascii="Calibri" w:eastAsia="Calibri" w:hAnsi="Calibri" w:cs="Calibri"/>
                <w:b/>
                <w:bCs/>
                <w:color w:val="3B3838"/>
                <w:kern w:val="24"/>
                <w:sz w:val="26"/>
                <w:szCs w:val="26"/>
                <w:lang w:eastAsia="ru-RU"/>
              </w:rPr>
            </w:pPr>
            <w:r w:rsidRPr="009A5CF7">
              <w:rPr>
                <w:rFonts w:ascii="Calibri" w:eastAsia="Calibri" w:hAnsi="Calibri" w:cs="Calibri"/>
                <w:b/>
                <w:bCs/>
                <w:color w:val="3B3838"/>
                <w:kern w:val="24"/>
                <w:sz w:val="26"/>
                <w:szCs w:val="26"/>
                <w:lang w:eastAsia="ru-RU"/>
              </w:rPr>
              <w:t>90%</w:t>
            </w:r>
          </w:p>
        </w:tc>
      </w:tr>
    </w:tbl>
    <w:p w:rsidR="009A5CF7" w:rsidRPr="009A5CF7" w:rsidRDefault="009A5CF7" w:rsidP="009A5CF7">
      <w:pPr>
        <w:spacing w:after="0" w:line="240" w:lineRule="auto"/>
        <w:ind w:firstLine="567"/>
        <w:jc w:val="both"/>
        <w:rPr>
          <w:rFonts w:ascii="Calibri" w:eastAsia="Calibri" w:hAnsi="Calibri" w:cs="Arial"/>
          <w:sz w:val="28"/>
          <w:szCs w:val="28"/>
        </w:rPr>
      </w:pPr>
    </w:p>
    <w:p w:rsidR="009A5CF7" w:rsidRPr="009A5CF7" w:rsidRDefault="009A5CF7" w:rsidP="009A5CF7">
      <w:pPr>
        <w:spacing w:after="0" w:line="240" w:lineRule="auto"/>
        <w:ind w:firstLine="567"/>
        <w:jc w:val="both"/>
        <w:rPr>
          <w:rFonts w:ascii="Times New Roman" w:eastAsia="Calibri" w:hAnsi="Times New Roman" w:cs="Times New Roman"/>
          <w:sz w:val="28"/>
          <w:szCs w:val="28"/>
        </w:rPr>
      </w:pPr>
      <w:r w:rsidRPr="009A5CF7">
        <w:rPr>
          <w:rFonts w:ascii="Times New Roman" w:eastAsia="Calibri" w:hAnsi="Times New Roman" w:cs="Times New Roman"/>
          <w:sz w:val="28"/>
          <w:szCs w:val="28"/>
        </w:rPr>
        <w:t>Необходимо отметить, что с 2022 года технология УК начинает внедряться и для закупок по 223-ФЗ, что позволит повысить эффективность закупочного процесса и по этому направлению закупок.</w:t>
      </w:r>
    </w:p>
    <w:p w:rsidR="009A5CF7" w:rsidRPr="00B66FAC" w:rsidRDefault="009A5CF7" w:rsidP="007A6F5B">
      <w:pPr>
        <w:spacing w:after="0" w:line="240" w:lineRule="auto"/>
        <w:ind w:right="-1" w:firstLine="708"/>
        <w:jc w:val="both"/>
        <w:rPr>
          <w:rFonts w:ascii="Times New Roman" w:hAnsi="Times New Roman" w:cs="Times New Roman"/>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14:anchorId="1FBD32C6" wp14:editId="3851ABE0">
                <wp:simplePos x="0" y="0"/>
                <wp:positionH relativeFrom="column">
                  <wp:posOffset>11866880</wp:posOffset>
                </wp:positionH>
                <wp:positionV relativeFrom="paragraph">
                  <wp:posOffset>936625</wp:posOffset>
                </wp:positionV>
                <wp:extent cx="363071" cy="670295"/>
                <wp:effectExtent l="19050" t="0" r="18415" b="34925"/>
                <wp:wrapNone/>
                <wp:docPr id="3" name="Стрелка: вниз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E10BD933-69CB-4F46-85E2-26510EAD0A37}"/>
                    </a:ext>
                  </a:extLst>
                </wp:docPr>
                <wp:cNvGraphicFramePr/>
                <a:graphic xmlns:a="http://schemas.openxmlformats.org/drawingml/2006/main">
                  <a:graphicData uri="http://schemas.microsoft.com/office/word/2010/wordprocessingShape">
                    <wps:wsp>
                      <wps:cNvSpPr/>
                      <wps:spPr>
                        <a:xfrm>
                          <a:off x="0" y="0"/>
                          <a:ext cx="363071" cy="670295"/>
                        </a:xfrm>
                        <a:prstGeom prst="down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5DAB70F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 o:spid="_x0000_s1026" type="#_x0000_t67" style="position:absolute;margin-left:934.4pt;margin-top:73.75pt;width:28.6pt;height:52.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" adj="15750" fillcolor="#92d050" strokecolor="#1f4d78 [1604]" strokeweight="1pt"/>
            </w:pict>
          </mc:Fallback>
        </mc:AlternateContent>
      </w:r>
      <w:r w:rsidRPr="000B4B03">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14:anchorId="303B70F7" wp14:editId="73697D3B">
                <wp:simplePos x="0" y="0"/>
                <wp:positionH relativeFrom="column">
                  <wp:posOffset>11873230</wp:posOffset>
                </wp:positionH>
                <wp:positionV relativeFrom="paragraph">
                  <wp:posOffset>1869440</wp:posOffset>
                </wp:positionV>
                <wp:extent cx="363071" cy="670295"/>
                <wp:effectExtent l="19050" t="0" r="18415" b="34925"/>
                <wp:wrapNone/>
                <wp:docPr id="15" name="Стрелка: вниз 1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9D7B64B5-5007-4DEC-AF7F-EBF3326533B9}"/>
                    </a:ext>
                  </a:extLst>
                </wp:docPr>
                <wp:cNvGraphicFramePr/>
                <a:graphic xmlns:a="http://schemas.openxmlformats.org/drawingml/2006/main">
                  <a:graphicData uri="http://schemas.microsoft.com/office/word/2010/wordprocessingShape">
                    <wps:wsp>
                      <wps:cNvSpPr/>
                      <wps:spPr>
                        <a:xfrm>
                          <a:off x="0" y="0"/>
                          <a:ext cx="363071" cy="670295"/>
                        </a:xfrm>
                        <a:prstGeom prst="down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FD39F2A" id="Стрелка: вниз 14" o:spid="_x0000_s1026" type="#_x0000_t67" style="position:absolute;margin-left:934.9pt;margin-top:147.2pt;width:28.6pt;height:52.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" adj="15750" fillcolor="#92d050" strokecolor="#1f4d78 [1604]" strokeweight="1pt"/>
            </w:pict>
          </mc:Fallback>
        </mc:AlternateContent>
      </w:r>
      <w:r w:rsidRPr="000B4B03">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14:anchorId="30F647E8" wp14:editId="73315257">
                <wp:simplePos x="0" y="0"/>
                <wp:positionH relativeFrom="column">
                  <wp:posOffset>11866880</wp:posOffset>
                </wp:positionH>
                <wp:positionV relativeFrom="paragraph">
                  <wp:posOffset>2794000</wp:posOffset>
                </wp:positionV>
                <wp:extent cx="363071" cy="670295"/>
                <wp:effectExtent l="19050" t="0" r="18415" b="34925"/>
                <wp:wrapNone/>
                <wp:docPr id="16" name="Стрелка: вниз 1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4AB03FE5-B82B-4069-BD7A-97E9FB961518}"/>
                    </a:ext>
                  </a:extLst>
                </wp:docPr>
                <wp:cNvGraphicFramePr/>
                <a:graphic xmlns:a="http://schemas.openxmlformats.org/drawingml/2006/main">
                  <a:graphicData uri="http://schemas.microsoft.com/office/word/2010/wordprocessingShape">
                    <wps:wsp>
                      <wps:cNvSpPr/>
                      <wps:spPr>
                        <a:xfrm>
                          <a:off x="0" y="0"/>
                          <a:ext cx="363071" cy="670295"/>
                        </a:xfrm>
                        <a:prstGeom prst="down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4CC0BFBF" id="Стрелка: вниз 15" o:spid="_x0000_s1026" type="#_x0000_t67" style="position:absolute;margin-left:934.4pt;margin-top:220pt;width:28.6pt;height:52.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" adj="15750" fillcolor="#92d050" strokecolor="#1f4d78 [1604]" strokeweight="1pt"/>
            </w:pict>
          </mc:Fallback>
        </mc:AlternateContent>
      </w:r>
      <w:r w:rsidRPr="000B4B03">
        <w:rPr>
          <w:rFonts w:ascii="Times New Roman" w:hAnsi="Times New Roman" w:cs="Times New Roman"/>
          <w:b/>
          <w:sz w:val="28"/>
          <w:szCs w:val="28"/>
        </w:rPr>
        <w:t>Умный контракт на строительно-монтажные работы</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xml:space="preserve">Подробно рассмотрим УК предметом которого, в соответствии со ст. </w:t>
      </w:r>
      <w:bookmarkStart w:id="0" w:name="_GoBack"/>
      <w:bookmarkEnd w:id="0"/>
      <w:r w:rsidRPr="000B4B03">
        <w:rPr>
          <w:rFonts w:ascii="Times New Roman" w:hAnsi="Times New Roman" w:cs="Times New Roman"/>
          <w:bCs/>
          <w:sz w:val="28"/>
          <w:szCs w:val="28"/>
        </w:rPr>
        <w:t>110.2 Федерального закона № 44-ФЗ, является строительство, реконструкция объектов капитального строительства. Его разработка стала результатом долгой и кропотливой работы, начатой еще в 2020 году. Сейчас можем констатировать, что работа по УК завершена и с августа 2021 года в регионе приступили к его практическому использованию функционала УК.</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Нормативные требования для контрактов на СМР.</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Разработка каждого УК требует глубокой проработки нормативной правовой базы и ее «примерки» к возможности оцифровки. Правовое регулирование требований к контрактам на СМР в последние годы претерпело существенные изменения, перечислим основные из НПА:</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Приказ Минстроя России от 05.06.2018 № 336/пр «Об утверждении 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Приказ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реконструкций объектов капитального строительства»;</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xml:space="preserve">- Приказ Минстроя России от 14.01.2020 № 9/пр «Об утверждении типовых условий контрактов на выполнение работ по строительству </w:t>
      </w:r>
      <w:r w:rsidRPr="000B4B03">
        <w:rPr>
          <w:rFonts w:ascii="Times New Roman" w:hAnsi="Times New Roman" w:cs="Times New Roman"/>
          <w:bCs/>
          <w:sz w:val="28"/>
          <w:szCs w:val="28"/>
        </w:rPr>
        <w:lastRenderedPageBreak/>
        <w:t>(реконструкции) объекта капитального строительства и информационной карты типовых условий контракта.</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Основные разделы УК на СМР.</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Акцентируем внимание на наиболее важных для УК на СМР условиях контракта.</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
          <w:sz w:val="28"/>
          <w:szCs w:val="28"/>
        </w:rPr>
        <w:t xml:space="preserve">1) Объект закупки. </w:t>
      </w:r>
      <w:r w:rsidRPr="000B4B03">
        <w:rPr>
          <w:rFonts w:ascii="Times New Roman" w:hAnsi="Times New Roman" w:cs="Times New Roman"/>
          <w:bCs/>
          <w:sz w:val="28"/>
          <w:szCs w:val="28"/>
        </w:rPr>
        <w:t>Объектом закупки для УК является собственно объект строительства (реконструкции) в объеме, предусмотренном проектно-сметной документацией. С точки зрения объемов для цифровизации условий контракта нас интересуют прежде всего сметы контракта, сформированные в соответствии с требованиями приказа Минстроя России № 841/пр.</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Сразу может возникнуть вопрос, почему речь идет не о смете контракта, а о сметах контракта. Это первый методологический вопрос, который возник в процессе оцифровки. Ответ на него найден в п. 2.8 Приказа Минстроя России № 336/пр, из которого следует:</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«2.8. … Каждый этап выполнения контракта,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Таким образом следует вывод, что количество смет контракта должно соответствовать количеству локальных смет строительства. В этом случае обеспечивается требование по обособленности затрат. В одной единой смете контракта обеспечить такое требование крайне затруднительно. Тем более затруднительно на основе одной сметы контракта составить график выполнения работ, поскольку график выполнения работ – это конкретный объем работ, который необходимо выполнить в конкретный период времени.</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Следующей задачей стала разработка цифрового формата сметы контракта по форме, предусмотренной Приказом Минстроя России № 841/пр. Такая задача решена с использованием формата Excel.</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При подготовке проекта УК на СМР заказчик должен загрузить сметы контракта в ПИК. При этом важно не только их загрузить, но и разложить в логике структуры Сводного сметного расчета, для этого сделан соответствующий функционал, который назвали «раскладушка», в точности повторяющий Разделы и Подразделы ССР. Такое решение выбрано по следующим причинам: во-первых, все строительные сметы изначально готовятся по разделам ССР; во-вторых, можно сделать аналитику исполнения контрактов всего региона по Разделам и Подразделам ССР, т.е. можно будет понять, какие объемы по контрактам выполнены по Подготовительному этапу, Основному объекту, Инженерным сетям, Прочим работам; в-третьих, график выполнения работ детализируется аналогично на основе ПОС, который, в свою очередь, также формируется с учетом логики ССР.</w:t>
      </w:r>
    </w:p>
    <w:p w:rsidR="000B4B03" w:rsidRPr="000B4B03" w:rsidRDefault="000B4B03" w:rsidP="000B4B03">
      <w:pPr>
        <w:spacing w:after="0" w:line="240" w:lineRule="auto"/>
        <w:ind w:right="-1" w:firstLine="708"/>
        <w:jc w:val="both"/>
        <w:rPr>
          <w:rFonts w:ascii="Times New Roman" w:hAnsi="Times New Roman" w:cs="Times New Roman"/>
          <w:sz w:val="28"/>
          <w:szCs w:val="28"/>
        </w:rPr>
      </w:pPr>
      <w:r w:rsidRPr="000B4B03">
        <w:rPr>
          <w:rFonts w:ascii="Times New Roman" w:hAnsi="Times New Roman" w:cs="Times New Roman"/>
          <w:bCs/>
          <w:sz w:val="28"/>
          <w:szCs w:val="28"/>
        </w:rPr>
        <w:t xml:space="preserve">Технически загрузка смет контракта является простым действием. Загрузить смету в неструктурированном формате не получится. После загрузки сметы в системе отражается стоимость по смете. Напротив каждой из </w:t>
      </w:r>
      <w:r w:rsidRPr="000B4B03">
        <w:rPr>
          <w:rFonts w:ascii="Times New Roman" w:hAnsi="Times New Roman" w:cs="Times New Roman"/>
          <w:bCs/>
          <w:sz w:val="28"/>
          <w:szCs w:val="28"/>
        </w:rPr>
        <w:lastRenderedPageBreak/>
        <w:t>смет есть возможность поставить отметку, что «Материалы представляются заказчиком». Эта отметка позволяет на следующем этапе сформировать обязательство для заказчика о сроках передачи таких материалов. Соответствующее условие предусмотрено п. 2.7 Приказа Минстроя России от 05.06.2018 № 336/пр.</w:t>
      </w:r>
      <w:r w:rsidRPr="000B4B03">
        <w:rPr>
          <w:rFonts w:ascii="Times New Roman" w:hAnsi="Times New Roman" w:cs="Times New Roman"/>
          <w:sz w:val="28"/>
          <w:szCs w:val="28"/>
        </w:rPr>
        <w:t xml:space="preserve"> </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2) Обязательства сторон.</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
          <w:sz w:val="28"/>
          <w:szCs w:val="28"/>
        </w:rPr>
        <w:t xml:space="preserve">2.1) График выполнения строительно-монтажных работ (далее – График СМР). </w:t>
      </w:r>
      <w:r w:rsidRPr="000B4B03">
        <w:rPr>
          <w:rFonts w:ascii="Times New Roman" w:hAnsi="Times New Roman" w:cs="Times New Roman"/>
          <w:bCs/>
          <w:sz w:val="28"/>
          <w:szCs w:val="28"/>
        </w:rPr>
        <w:t>Правильно составленный График СМР позволяет обеспечить четкую последовательность выполнения работ на объекте, своевременно зафиксировать отклонения от графика, применить меры ответственности в отношении подрядчика по контракту, и в некоторых случаях – принять решение об одностороннем отказе от исполнения контракта. В этой связи График СМР является ключевым элементом УК на СМР.</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До выхода Приказа Минстроя России от 05.06.2018 № 336/пр, от заказчиков часто лишь возражения, что «по графику ни один объект построить нельзя». Сейчас эти разговоры прекратились.</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При решении задачи цифровизации Графика СМР исходили из требований п.2.8 Приказа Минстроя России от 05.06.2018 № 336/пр, а именно:</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«п. 2.8. Степень детализации и количество этапов выполнения контракта, комплексов работ, видов работ, частей работ отдельного вида работ по строительству, реконструкции объекта определяется заказчиком исходя из архитектурных, технических и технологических решений, содержащихся в проектной документации, в зависимости от условий контракта и специфических особенностей объекта закупки, а также приемки выполненных работ».</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Детализация объемов была достигнута благодаря принципу «одна строительная смета = одна смета контракта». Для составления Графика СМР необходимо в разделе Обязательства по каждой их ранее загруженных смет определить сроки начала и окончания выполнения работ. Срои можно установить: от даты заключения контракта; от даты иного события (например, даты передачи строительной площадки (характерно для зданий), либо даты передачи проектной документации (характерно для линейных объектов (дорог)).</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Залог успешного строительство в правильно составленном Графике СМР. Подрядчик должен с первого дня понимать, что есть установленные сроки выполнения обязательств и четкий контроль их выполнения.</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2.2) Обязательства Приемки:</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Приемка работ по контракту на СМР осуществляется заказчиком. Экспертизу выполнения работ заказчик может осуществить собственными силами либо с привлечением внешних экспертов.</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xml:space="preserve">При подготовке УК на СМР (либо в ходе его исполнения) заказчик включает в цифровую модель условий контракта организацию, осуществляющую строительный контроль (в текст контракта эта организация не попадает). Это позволяет организации стройконтроля получать документы </w:t>
      </w:r>
      <w:r w:rsidRPr="000B4B03">
        <w:rPr>
          <w:rFonts w:ascii="Times New Roman" w:hAnsi="Times New Roman" w:cs="Times New Roman"/>
          <w:bCs/>
          <w:sz w:val="28"/>
          <w:szCs w:val="28"/>
        </w:rPr>
        <w:lastRenderedPageBreak/>
        <w:t>приемки до их подписания заказчиком, проверять их, и подписывать, либо отклонять. Если документ приемки подписан стройконтролем, то далее такой документ поступает заказчику.</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В цифровую модель УК на СМР можно вносить организацию, осуществляющую авторский надзор.</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2.3) Обязательства Оплаты:</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Согласно ч. 6.1 ст. 110.2 Федерального закона № 44-ФЗ оплата работ осуществляется в соответствии с графиком оплаты выполненных работ, при его наличии. Таким образом, наличие графика оплаты, предусмотренного Приказом Минстроя от 05.06.2018 № 336/пр, не является обязательным.</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Составление такого графика, с учетом множества неизвестных факторов, является задачей маловероятной. В таких условиях наиболее правильным является общее правило, которое реализовано в технологии УК – срок оплаты определяется в днях, не превышающих сроки, установленные ст. 34 Федерального закона № 44-ФЗ.</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
          <w:sz w:val="28"/>
          <w:szCs w:val="28"/>
        </w:rPr>
        <w:t xml:space="preserve">2.4) Иные обязательства, включаемые в УК в соответствии с нормативными требованиями. </w:t>
      </w:r>
      <w:r w:rsidRPr="000B4B03">
        <w:rPr>
          <w:rFonts w:ascii="Times New Roman" w:hAnsi="Times New Roman" w:cs="Times New Roman"/>
          <w:bCs/>
          <w:sz w:val="28"/>
          <w:szCs w:val="28"/>
        </w:rPr>
        <w:t>Такие Обязательства, предусмотренные в соответствии с требованиями приказа Минстроя России от 14.01.2020 № 9/пр, а также Приказа Минстроя от 05.06.2018 № 336/пр – предзаполнены в шаблоне обязательств (внесены в текст УК). По каждому из обязательств предустановлены сроки (которые могут быть изменены заказчиком при необходимости при подготовке проекта УК).</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
          <w:sz w:val="28"/>
          <w:szCs w:val="28"/>
        </w:rPr>
        <w:t xml:space="preserve">2.5) Иные обязательства, включаемые в УК, не предусмотренные требованиями. </w:t>
      </w:r>
      <w:r w:rsidRPr="000B4B03">
        <w:rPr>
          <w:rFonts w:ascii="Times New Roman" w:hAnsi="Times New Roman" w:cs="Times New Roman"/>
          <w:bCs/>
          <w:sz w:val="28"/>
          <w:szCs w:val="28"/>
        </w:rPr>
        <w:t>Типовые условия контракта на СМР не ограничивают заказчика в количестве приложений. В этой связи заказчик может внести их самостоятельно при подготовке проекта УК. Технически эта задача выполняется так: при оцифровке проекта контракта можно добавить «иное приложение», указать его порядковый номер, наименование и загрузить соответствующий файл.</w:t>
      </w:r>
    </w:p>
    <w:p w:rsidR="000B4B03" w:rsidRPr="000B4B03" w:rsidRDefault="000B4B03" w:rsidP="000B4B03">
      <w:pPr>
        <w:spacing w:after="0" w:line="240" w:lineRule="auto"/>
        <w:ind w:right="-1" w:firstLine="708"/>
        <w:jc w:val="both"/>
        <w:rPr>
          <w:rFonts w:ascii="Times New Roman" w:hAnsi="Times New Roman" w:cs="Times New Roman"/>
          <w:b/>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3) Документы по контракту.</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 xml:space="preserve">Перечень документов по контракту позволяет подтвердить выполнение соответствующих обязательства. Поэтому документы нами формируются в привязке к обязательству. Если все документы подписаны, то обязательство считается исполненным. При оцифровке УК нами предустановлен перечень документов по каждому виду обязательств. При внесении документа указывается: наименование документа, которым обмениваются стороны при исполнении контрактов; ответственное лицо за подготовку документа; сроки предоставления документа; сроки на рассмотрение документа со стороны контрагента. В ходе исполнения контракта нарушение таких сроков фиксируется автоматизировано. </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4) Регламент ЭДО (электронного документооборота).</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Это приложение является текстовым и формируется автоматизировано при формировании приложений по УК.</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5) Иные приложения к контракту.</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Заказчик может включить в Обязательства по контракту иные, не предусмотренные Типовыми условиями контракта на СМР Обязательства. В этой связи им могут быть добавлены иные приложения к проекту контракта, которые представляют собой отдельные файлы (при этом заказчик вносит название такого приложения в соответствующий раздел при подготовке УК).</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6) Текстовая часть УК на СМР.</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r w:rsidRPr="000B4B03">
        <w:rPr>
          <w:rFonts w:ascii="Times New Roman" w:hAnsi="Times New Roman" w:cs="Times New Roman"/>
          <w:bCs/>
          <w:sz w:val="28"/>
          <w:szCs w:val="28"/>
        </w:rPr>
        <w:t>Текст УК формируется на основании: постоянного текста (предзаполненные условия контракта); переменного текста, который характерен для каждой отдельной закупки.</w:t>
      </w:r>
    </w:p>
    <w:p w:rsidR="000B4B03" w:rsidRPr="000B4B03" w:rsidRDefault="000B4B03" w:rsidP="000B4B03">
      <w:pPr>
        <w:spacing w:after="0" w:line="240" w:lineRule="auto"/>
        <w:ind w:right="-1" w:firstLine="708"/>
        <w:jc w:val="both"/>
        <w:rPr>
          <w:rFonts w:ascii="Times New Roman" w:hAnsi="Times New Roman" w:cs="Times New Roman"/>
          <w:bCs/>
          <w:sz w:val="28"/>
          <w:szCs w:val="28"/>
        </w:rPr>
      </w:pPr>
    </w:p>
    <w:p w:rsidR="000B4B03" w:rsidRPr="000B4B03" w:rsidRDefault="000B4B03" w:rsidP="000B4B03">
      <w:pPr>
        <w:spacing w:after="0" w:line="240" w:lineRule="auto"/>
        <w:ind w:right="-1" w:firstLine="708"/>
        <w:jc w:val="both"/>
        <w:rPr>
          <w:rFonts w:ascii="Times New Roman" w:hAnsi="Times New Roman" w:cs="Times New Roman"/>
          <w:b/>
          <w:sz w:val="28"/>
          <w:szCs w:val="28"/>
        </w:rPr>
      </w:pPr>
      <w:r w:rsidRPr="000B4B03">
        <w:rPr>
          <w:rFonts w:ascii="Times New Roman" w:hAnsi="Times New Roman" w:cs="Times New Roman"/>
          <w:b/>
          <w:sz w:val="28"/>
          <w:szCs w:val="28"/>
        </w:rPr>
        <w:t>Весь процесс подготовки УК на СМР составляет 15-30 минут. На выходе заказчик получает автоматизировано сформированный проект контракта, без нарушений, процесс исполнения которого является полностью прозрачным, с автоматизированным расчетом и контролем как сроков исполнения, так и объемов.</w:t>
      </w:r>
    </w:p>
    <w:p w:rsidR="005453F2" w:rsidRDefault="005453F2" w:rsidP="007A6F5B">
      <w:pPr>
        <w:spacing w:after="0" w:line="240" w:lineRule="auto"/>
        <w:ind w:right="-1" w:firstLine="708"/>
        <w:jc w:val="both"/>
        <w:rPr>
          <w:rFonts w:ascii="Times New Roman" w:hAnsi="Times New Roman" w:cs="Times New Roman"/>
          <w:sz w:val="28"/>
          <w:szCs w:val="28"/>
        </w:rPr>
      </w:pPr>
    </w:p>
    <w:sectPr w:rsidR="005453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8D1" w:rsidRDefault="008778D1">
      <w:pPr>
        <w:spacing w:after="0" w:line="240" w:lineRule="auto"/>
      </w:pPr>
      <w:r>
        <w:separator/>
      </w:r>
    </w:p>
  </w:endnote>
  <w:endnote w:type="continuationSeparator" w:id="0">
    <w:p w:rsidR="008778D1" w:rsidRDefault="0087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8D1" w:rsidRDefault="008778D1">
      <w:pPr>
        <w:spacing w:after="0" w:line="240" w:lineRule="auto"/>
      </w:pPr>
      <w:r>
        <w:separator/>
      </w:r>
    </w:p>
  </w:footnote>
  <w:footnote w:type="continuationSeparator" w:id="0">
    <w:p w:rsidR="008778D1" w:rsidRDefault="008778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F7D86"/>
    <w:multiLevelType w:val="hybridMultilevel"/>
    <w:tmpl w:val="BF92BE18"/>
    <w:lvl w:ilvl="0" w:tplc="3328D160">
      <w:start w:val="1"/>
      <w:numFmt w:val="bullet"/>
      <w:lvlText w:val=""/>
      <w:lvlJc w:val="left"/>
      <w:pPr>
        <w:ind w:left="1571" w:hanging="360"/>
      </w:pPr>
      <w:rPr>
        <w:rFonts w:ascii="Symbol" w:hAnsi="Symbol" w:hint="default"/>
      </w:rPr>
    </w:lvl>
    <w:lvl w:ilvl="1" w:tplc="C79643DA">
      <w:start w:val="1"/>
      <w:numFmt w:val="bullet"/>
      <w:lvlText w:val="o"/>
      <w:lvlJc w:val="left"/>
      <w:pPr>
        <w:ind w:left="2291" w:hanging="360"/>
      </w:pPr>
      <w:rPr>
        <w:rFonts w:ascii="Courier New" w:hAnsi="Courier New" w:cs="Courier New" w:hint="default"/>
      </w:rPr>
    </w:lvl>
    <w:lvl w:ilvl="2" w:tplc="8174D418">
      <w:start w:val="1"/>
      <w:numFmt w:val="bullet"/>
      <w:lvlText w:val=""/>
      <w:lvlJc w:val="left"/>
      <w:pPr>
        <w:ind w:left="3011" w:hanging="360"/>
      </w:pPr>
      <w:rPr>
        <w:rFonts w:ascii="Wingdings" w:hAnsi="Wingdings" w:hint="default"/>
      </w:rPr>
    </w:lvl>
    <w:lvl w:ilvl="3" w:tplc="16A2A378">
      <w:start w:val="1"/>
      <w:numFmt w:val="bullet"/>
      <w:lvlText w:val=""/>
      <w:lvlJc w:val="left"/>
      <w:pPr>
        <w:ind w:left="3731" w:hanging="360"/>
      </w:pPr>
      <w:rPr>
        <w:rFonts w:ascii="Symbol" w:hAnsi="Symbol" w:hint="default"/>
      </w:rPr>
    </w:lvl>
    <w:lvl w:ilvl="4" w:tplc="D6EE1AF2">
      <w:start w:val="1"/>
      <w:numFmt w:val="bullet"/>
      <w:lvlText w:val="o"/>
      <w:lvlJc w:val="left"/>
      <w:pPr>
        <w:ind w:left="4451" w:hanging="360"/>
      </w:pPr>
      <w:rPr>
        <w:rFonts w:ascii="Courier New" w:hAnsi="Courier New" w:cs="Courier New" w:hint="default"/>
      </w:rPr>
    </w:lvl>
    <w:lvl w:ilvl="5" w:tplc="F7340BC6">
      <w:start w:val="1"/>
      <w:numFmt w:val="bullet"/>
      <w:lvlText w:val=""/>
      <w:lvlJc w:val="left"/>
      <w:pPr>
        <w:ind w:left="5171" w:hanging="360"/>
      </w:pPr>
      <w:rPr>
        <w:rFonts w:ascii="Wingdings" w:hAnsi="Wingdings" w:hint="default"/>
      </w:rPr>
    </w:lvl>
    <w:lvl w:ilvl="6" w:tplc="295C0A9E">
      <w:start w:val="1"/>
      <w:numFmt w:val="bullet"/>
      <w:lvlText w:val=""/>
      <w:lvlJc w:val="left"/>
      <w:pPr>
        <w:ind w:left="5891" w:hanging="360"/>
      </w:pPr>
      <w:rPr>
        <w:rFonts w:ascii="Symbol" w:hAnsi="Symbol" w:hint="default"/>
      </w:rPr>
    </w:lvl>
    <w:lvl w:ilvl="7" w:tplc="D18A23A2">
      <w:start w:val="1"/>
      <w:numFmt w:val="bullet"/>
      <w:lvlText w:val="o"/>
      <w:lvlJc w:val="left"/>
      <w:pPr>
        <w:ind w:left="6611" w:hanging="360"/>
      </w:pPr>
      <w:rPr>
        <w:rFonts w:ascii="Courier New" w:hAnsi="Courier New" w:cs="Courier New" w:hint="default"/>
      </w:rPr>
    </w:lvl>
    <w:lvl w:ilvl="8" w:tplc="78C0D668">
      <w:start w:val="1"/>
      <w:numFmt w:val="bullet"/>
      <w:lvlText w:val=""/>
      <w:lvlJc w:val="left"/>
      <w:pPr>
        <w:ind w:left="7331" w:hanging="360"/>
      </w:pPr>
      <w:rPr>
        <w:rFonts w:ascii="Wingdings" w:hAnsi="Wingdings" w:hint="default"/>
      </w:rPr>
    </w:lvl>
  </w:abstractNum>
  <w:abstractNum w:abstractNumId="1" w15:restartNumberingAfterBreak="0">
    <w:nsid w:val="41127FC5"/>
    <w:multiLevelType w:val="hybridMultilevel"/>
    <w:tmpl w:val="F7028AAE"/>
    <w:lvl w:ilvl="0" w:tplc="B3BA85A0">
      <w:start w:val="1"/>
      <w:numFmt w:val="decimal"/>
      <w:lvlText w:val="%1."/>
      <w:lvlJc w:val="left"/>
      <w:pPr>
        <w:tabs>
          <w:tab w:val="num" w:pos="720"/>
        </w:tabs>
        <w:ind w:left="720" w:hanging="360"/>
      </w:pPr>
      <w:rPr>
        <w:rFonts w:hint="default"/>
      </w:rPr>
    </w:lvl>
    <w:lvl w:ilvl="1" w:tplc="F4642CD0">
      <w:start w:val="1"/>
      <w:numFmt w:val="bullet"/>
      <w:lvlText w:val="•"/>
      <w:lvlJc w:val="left"/>
      <w:pPr>
        <w:tabs>
          <w:tab w:val="num" w:pos="1440"/>
        </w:tabs>
        <w:ind w:left="1440" w:hanging="360"/>
      </w:pPr>
      <w:rPr>
        <w:rFonts w:ascii="Arial" w:hAnsi="Arial" w:hint="default"/>
      </w:rPr>
    </w:lvl>
    <w:lvl w:ilvl="2" w:tplc="AC1C4F22">
      <w:start w:val="1"/>
      <w:numFmt w:val="bullet"/>
      <w:lvlText w:val="•"/>
      <w:lvlJc w:val="left"/>
      <w:pPr>
        <w:tabs>
          <w:tab w:val="num" w:pos="2160"/>
        </w:tabs>
        <w:ind w:left="2160" w:hanging="360"/>
      </w:pPr>
      <w:rPr>
        <w:rFonts w:ascii="Arial" w:hAnsi="Arial" w:hint="default"/>
      </w:rPr>
    </w:lvl>
    <w:lvl w:ilvl="3" w:tplc="270C3EF8">
      <w:start w:val="1"/>
      <w:numFmt w:val="bullet"/>
      <w:lvlText w:val="•"/>
      <w:lvlJc w:val="left"/>
      <w:pPr>
        <w:tabs>
          <w:tab w:val="num" w:pos="2880"/>
        </w:tabs>
        <w:ind w:left="2880" w:hanging="360"/>
      </w:pPr>
      <w:rPr>
        <w:rFonts w:ascii="Arial" w:hAnsi="Arial" w:hint="default"/>
      </w:rPr>
    </w:lvl>
    <w:lvl w:ilvl="4" w:tplc="0AFCAB5A">
      <w:start w:val="1"/>
      <w:numFmt w:val="bullet"/>
      <w:lvlText w:val="•"/>
      <w:lvlJc w:val="left"/>
      <w:pPr>
        <w:tabs>
          <w:tab w:val="num" w:pos="3600"/>
        </w:tabs>
        <w:ind w:left="3600" w:hanging="360"/>
      </w:pPr>
      <w:rPr>
        <w:rFonts w:ascii="Arial" w:hAnsi="Arial" w:hint="default"/>
      </w:rPr>
    </w:lvl>
    <w:lvl w:ilvl="5" w:tplc="222A0F7A">
      <w:start w:val="1"/>
      <w:numFmt w:val="bullet"/>
      <w:lvlText w:val="•"/>
      <w:lvlJc w:val="left"/>
      <w:pPr>
        <w:tabs>
          <w:tab w:val="num" w:pos="4320"/>
        </w:tabs>
        <w:ind w:left="4320" w:hanging="360"/>
      </w:pPr>
      <w:rPr>
        <w:rFonts w:ascii="Arial" w:hAnsi="Arial" w:hint="default"/>
      </w:rPr>
    </w:lvl>
    <w:lvl w:ilvl="6" w:tplc="0E5080A4">
      <w:start w:val="1"/>
      <w:numFmt w:val="bullet"/>
      <w:lvlText w:val="•"/>
      <w:lvlJc w:val="left"/>
      <w:pPr>
        <w:tabs>
          <w:tab w:val="num" w:pos="5040"/>
        </w:tabs>
        <w:ind w:left="5040" w:hanging="360"/>
      </w:pPr>
      <w:rPr>
        <w:rFonts w:ascii="Arial" w:hAnsi="Arial" w:hint="default"/>
      </w:rPr>
    </w:lvl>
    <w:lvl w:ilvl="7" w:tplc="7A545FE0">
      <w:start w:val="1"/>
      <w:numFmt w:val="bullet"/>
      <w:lvlText w:val="•"/>
      <w:lvlJc w:val="left"/>
      <w:pPr>
        <w:tabs>
          <w:tab w:val="num" w:pos="5760"/>
        </w:tabs>
        <w:ind w:left="5760" w:hanging="360"/>
      </w:pPr>
      <w:rPr>
        <w:rFonts w:ascii="Arial" w:hAnsi="Arial" w:hint="default"/>
      </w:rPr>
    </w:lvl>
    <w:lvl w:ilvl="8" w:tplc="A08C8F4E">
      <w:start w:val="1"/>
      <w:numFmt w:val="bullet"/>
      <w:lvlText w:val="•"/>
      <w:lvlJc w:val="left"/>
      <w:pPr>
        <w:tabs>
          <w:tab w:val="num" w:pos="6480"/>
        </w:tabs>
        <w:ind w:left="6480" w:hanging="360"/>
      </w:pPr>
      <w:rPr>
        <w:rFonts w:ascii="Arial" w:hAnsi="Arial" w:hint="default"/>
      </w:rPr>
    </w:lvl>
  </w:abstractNum>
  <w:abstractNum w:abstractNumId="2" w15:restartNumberingAfterBreak="0">
    <w:nsid w:val="43543D8C"/>
    <w:multiLevelType w:val="hybridMultilevel"/>
    <w:tmpl w:val="DDB4EDF8"/>
    <w:lvl w:ilvl="0" w:tplc="D59A0A64">
      <w:start w:val="1"/>
      <w:numFmt w:val="bullet"/>
      <w:lvlText w:val=""/>
      <w:lvlJc w:val="left"/>
      <w:pPr>
        <w:ind w:left="720" w:hanging="360"/>
      </w:pPr>
      <w:rPr>
        <w:rFonts w:ascii="Symbol" w:hAnsi="Symbol" w:hint="default"/>
      </w:rPr>
    </w:lvl>
    <w:lvl w:ilvl="1" w:tplc="F2C882E4">
      <w:start w:val="1"/>
      <w:numFmt w:val="bullet"/>
      <w:lvlText w:val="o"/>
      <w:lvlJc w:val="left"/>
      <w:pPr>
        <w:ind w:left="1440" w:hanging="360"/>
      </w:pPr>
      <w:rPr>
        <w:rFonts w:ascii="Courier New" w:hAnsi="Courier New" w:cs="Courier New" w:hint="default"/>
      </w:rPr>
    </w:lvl>
    <w:lvl w:ilvl="2" w:tplc="D332C102">
      <w:start w:val="1"/>
      <w:numFmt w:val="bullet"/>
      <w:lvlText w:val=""/>
      <w:lvlJc w:val="left"/>
      <w:pPr>
        <w:ind w:left="2160" w:hanging="360"/>
      </w:pPr>
      <w:rPr>
        <w:rFonts w:ascii="Wingdings" w:hAnsi="Wingdings" w:hint="default"/>
      </w:rPr>
    </w:lvl>
    <w:lvl w:ilvl="3" w:tplc="FC54A6DC">
      <w:start w:val="1"/>
      <w:numFmt w:val="bullet"/>
      <w:lvlText w:val=""/>
      <w:lvlJc w:val="left"/>
      <w:pPr>
        <w:ind w:left="2880" w:hanging="360"/>
      </w:pPr>
      <w:rPr>
        <w:rFonts w:ascii="Symbol" w:hAnsi="Symbol" w:hint="default"/>
      </w:rPr>
    </w:lvl>
    <w:lvl w:ilvl="4" w:tplc="E124C146">
      <w:start w:val="1"/>
      <w:numFmt w:val="bullet"/>
      <w:lvlText w:val="o"/>
      <w:lvlJc w:val="left"/>
      <w:pPr>
        <w:ind w:left="3600" w:hanging="360"/>
      </w:pPr>
      <w:rPr>
        <w:rFonts w:ascii="Courier New" w:hAnsi="Courier New" w:cs="Courier New" w:hint="default"/>
      </w:rPr>
    </w:lvl>
    <w:lvl w:ilvl="5" w:tplc="5246DBF2">
      <w:start w:val="1"/>
      <w:numFmt w:val="bullet"/>
      <w:lvlText w:val=""/>
      <w:lvlJc w:val="left"/>
      <w:pPr>
        <w:ind w:left="4320" w:hanging="360"/>
      </w:pPr>
      <w:rPr>
        <w:rFonts w:ascii="Wingdings" w:hAnsi="Wingdings" w:hint="default"/>
      </w:rPr>
    </w:lvl>
    <w:lvl w:ilvl="6" w:tplc="733E7CEC">
      <w:start w:val="1"/>
      <w:numFmt w:val="bullet"/>
      <w:lvlText w:val=""/>
      <w:lvlJc w:val="left"/>
      <w:pPr>
        <w:ind w:left="5040" w:hanging="360"/>
      </w:pPr>
      <w:rPr>
        <w:rFonts w:ascii="Symbol" w:hAnsi="Symbol" w:hint="default"/>
      </w:rPr>
    </w:lvl>
    <w:lvl w:ilvl="7" w:tplc="04045FE0">
      <w:start w:val="1"/>
      <w:numFmt w:val="bullet"/>
      <w:lvlText w:val="o"/>
      <w:lvlJc w:val="left"/>
      <w:pPr>
        <w:ind w:left="5760" w:hanging="360"/>
      </w:pPr>
      <w:rPr>
        <w:rFonts w:ascii="Courier New" w:hAnsi="Courier New" w:cs="Courier New" w:hint="default"/>
      </w:rPr>
    </w:lvl>
    <w:lvl w:ilvl="8" w:tplc="9080F252">
      <w:start w:val="1"/>
      <w:numFmt w:val="bullet"/>
      <w:lvlText w:val=""/>
      <w:lvlJc w:val="left"/>
      <w:pPr>
        <w:ind w:left="6480" w:hanging="360"/>
      </w:pPr>
      <w:rPr>
        <w:rFonts w:ascii="Wingdings" w:hAnsi="Wingdings" w:hint="default"/>
      </w:rPr>
    </w:lvl>
  </w:abstractNum>
  <w:abstractNum w:abstractNumId="3" w15:restartNumberingAfterBreak="0">
    <w:nsid w:val="6780636E"/>
    <w:multiLevelType w:val="hybridMultilevel"/>
    <w:tmpl w:val="949C92CE"/>
    <w:lvl w:ilvl="0" w:tplc="57AE1DB2">
      <w:start w:val="1"/>
      <w:numFmt w:val="bullet"/>
      <w:lvlText w:val=""/>
      <w:lvlJc w:val="left"/>
      <w:pPr>
        <w:ind w:left="1429" w:hanging="360"/>
      </w:pPr>
      <w:rPr>
        <w:rFonts w:ascii="Symbol" w:hAnsi="Symbol" w:hint="default"/>
      </w:rPr>
    </w:lvl>
    <w:lvl w:ilvl="1" w:tplc="823EEE24">
      <w:start w:val="1"/>
      <w:numFmt w:val="bullet"/>
      <w:lvlText w:val="o"/>
      <w:lvlJc w:val="left"/>
      <w:pPr>
        <w:ind w:left="2149" w:hanging="360"/>
      </w:pPr>
      <w:rPr>
        <w:rFonts w:ascii="Courier New" w:hAnsi="Courier New" w:cs="Courier New" w:hint="default"/>
      </w:rPr>
    </w:lvl>
    <w:lvl w:ilvl="2" w:tplc="7BD87D20">
      <w:start w:val="1"/>
      <w:numFmt w:val="bullet"/>
      <w:lvlText w:val=""/>
      <w:lvlJc w:val="left"/>
      <w:pPr>
        <w:ind w:left="2869" w:hanging="360"/>
      </w:pPr>
      <w:rPr>
        <w:rFonts w:ascii="Wingdings" w:hAnsi="Wingdings" w:hint="default"/>
      </w:rPr>
    </w:lvl>
    <w:lvl w:ilvl="3" w:tplc="9ED03D50">
      <w:start w:val="1"/>
      <w:numFmt w:val="bullet"/>
      <w:lvlText w:val=""/>
      <w:lvlJc w:val="left"/>
      <w:pPr>
        <w:ind w:left="3589" w:hanging="360"/>
      </w:pPr>
      <w:rPr>
        <w:rFonts w:ascii="Symbol" w:hAnsi="Symbol" w:hint="default"/>
      </w:rPr>
    </w:lvl>
    <w:lvl w:ilvl="4" w:tplc="9FB46BB4">
      <w:start w:val="1"/>
      <w:numFmt w:val="bullet"/>
      <w:lvlText w:val="o"/>
      <w:lvlJc w:val="left"/>
      <w:pPr>
        <w:ind w:left="4309" w:hanging="360"/>
      </w:pPr>
      <w:rPr>
        <w:rFonts w:ascii="Courier New" w:hAnsi="Courier New" w:cs="Courier New" w:hint="default"/>
      </w:rPr>
    </w:lvl>
    <w:lvl w:ilvl="5" w:tplc="3746F1E4">
      <w:start w:val="1"/>
      <w:numFmt w:val="bullet"/>
      <w:lvlText w:val=""/>
      <w:lvlJc w:val="left"/>
      <w:pPr>
        <w:ind w:left="5029" w:hanging="360"/>
      </w:pPr>
      <w:rPr>
        <w:rFonts w:ascii="Wingdings" w:hAnsi="Wingdings" w:hint="default"/>
      </w:rPr>
    </w:lvl>
    <w:lvl w:ilvl="6" w:tplc="3CB69974">
      <w:start w:val="1"/>
      <w:numFmt w:val="bullet"/>
      <w:lvlText w:val=""/>
      <w:lvlJc w:val="left"/>
      <w:pPr>
        <w:ind w:left="5749" w:hanging="360"/>
      </w:pPr>
      <w:rPr>
        <w:rFonts w:ascii="Symbol" w:hAnsi="Symbol" w:hint="default"/>
      </w:rPr>
    </w:lvl>
    <w:lvl w:ilvl="7" w:tplc="8B1C3BCE">
      <w:start w:val="1"/>
      <w:numFmt w:val="bullet"/>
      <w:lvlText w:val="o"/>
      <w:lvlJc w:val="left"/>
      <w:pPr>
        <w:ind w:left="6469" w:hanging="360"/>
      </w:pPr>
      <w:rPr>
        <w:rFonts w:ascii="Courier New" w:hAnsi="Courier New" w:cs="Courier New" w:hint="default"/>
      </w:rPr>
    </w:lvl>
    <w:lvl w:ilvl="8" w:tplc="D0D866CE">
      <w:start w:val="1"/>
      <w:numFmt w:val="bullet"/>
      <w:lvlText w:val=""/>
      <w:lvlJc w:val="left"/>
      <w:pPr>
        <w:ind w:left="7189" w:hanging="360"/>
      </w:pPr>
      <w:rPr>
        <w:rFonts w:ascii="Wingdings" w:hAnsi="Wingdings" w:hint="default"/>
      </w:rPr>
    </w:lvl>
  </w:abstractNum>
  <w:abstractNum w:abstractNumId="4" w15:restartNumberingAfterBreak="0">
    <w:nsid w:val="68777D96"/>
    <w:multiLevelType w:val="hybridMultilevel"/>
    <w:tmpl w:val="64187DDA"/>
    <w:lvl w:ilvl="0" w:tplc="B8F29166">
      <w:start w:val="1"/>
      <w:numFmt w:val="decimal"/>
      <w:lvlText w:val="%1."/>
      <w:lvlJc w:val="left"/>
      <w:pPr>
        <w:ind w:left="4773" w:hanging="945"/>
      </w:pPr>
      <w:rPr>
        <w:rFonts w:hint="default"/>
      </w:rPr>
    </w:lvl>
    <w:lvl w:ilvl="1" w:tplc="A2528FF2">
      <w:start w:val="1"/>
      <w:numFmt w:val="lowerLetter"/>
      <w:lvlText w:val="%2."/>
      <w:lvlJc w:val="left"/>
      <w:pPr>
        <w:ind w:left="1440" w:hanging="360"/>
      </w:pPr>
    </w:lvl>
    <w:lvl w:ilvl="2" w:tplc="C0D65998">
      <w:start w:val="1"/>
      <w:numFmt w:val="lowerRoman"/>
      <w:lvlText w:val="%3."/>
      <w:lvlJc w:val="right"/>
      <w:pPr>
        <w:ind w:left="2160" w:hanging="180"/>
      </w:pPr>
    </w:lvl>
    <w:lvl w:ilvl="3" w:tplc="87A415C4">
      <w:start w:val="1"/>
      <w:numFmt w:val="decimal"/>
      <w:lvlText w:val="%4."/>
      <w:lvlJc w:val="left"/>
      <w:pPr>
        <w:ind w:left="2880" w:hanging="360"/>
      </w:pPr>
    </w:lvl>
    <w:lvl w:ilvl="4" w:tplc="3E68AB24">
      <w:start w:val="1"/>
      <w:numFmt w:val="lowerLetter"/>
      <w:lvlText w:val="%5."/>
      <w:lvlJc w:val="left"/>
      <w:pPr>
        <w:ind w:left="3600" w:hanging="360"/>
      </w:pPr>
    </w:lvl>
    <w:lvl w:ilvl="5" w:tplc="237EF504">
      <w:start w:val="1"/>
      <w:numFmt w:val="lowerRoman"/>
      <w:lvlText w:val="%6."/>
      <w:lvlJc w:val="right"/>
      <w:pPr>
        <w:ind w:left="4320" w:hanging="180"/>
      </w:pPr>
    </w:lvl>
    <w:lvl w:ilvl="6" w:tplc="53F67B7E">
      <w:start w:val="1"/>
      <w:numFmt w:val="decimal"/>
      <w:lvlText w:val="%7."/>
      <w:lvlJc w:val="left"/>
      <w:pPr>
        <w:ind w:left="5040" w:hanging="360"/>
      </w:pPr>
    </w:lvl>
    <w:lvl w:ilvl="7" w:tplc="163C4E2C">
      <w:start w:val="1"/>
      <w:numFmt w:val="lowerLetter"/>
      <w:lvlText w:val="%8."/>
      <w:lvlJc w:val="left"/>
      <w:pPr>
        <w:ind w:left="5760" w:hanging="360"/>
      </w:pPr>
    </w:lvl>
    <w:lvl w:ilvl="8" w:tplc="6C4C3E26">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3F2"/>
    <w:rsid w:val="000B4B03"/>
    <w:rsid w:val="001E28DE"/>
    <w:rsid w:val="005453F2"/>
    <w:rsid w:val="007A6F5B"/>
    <w:rsid w:val="007F5769"/>
    <w:rsid w:val="008778D1"/>
    <w:rsid w:val="009A5CF7"/>
    <w:rsid w:val="00B66FAC"/>
    <w:rsid w:val="00EF5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E07127-247B-42B7-9DAB-6803F397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styleId="af9">
    <w:name w:val="List Paragraph"/>
    <w:basedOn w:val="a"/>
    <w:uiPriority w:val="34"/>
    <w:qFormat/>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3628</Words>
  <Characters>20685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ГКУ НСО "УКСиС"</Company>
  <LinksUpToDate>false</LinksUpToDate>
  <CharactersWithSpaces>24265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Лещинский Дмитрий Дмитриевич</dc:creator>
  <cp:keywords/>
  <dc:description/>
  <cp:lastModifiedBy>Маслова Катерина Андреевна</cp:lastModifiedBy>
  <cp:revision>32</cp:revision>
  <dcterms:created xsi:type="dcterms:W3CDTF">2022-08-08T08:22:00Z</dcterms:created>
  <dcterms:modified xsi:type="dcterms:W3CDTF">2022-08-08T08:30:00Z</dcterms:modified>
</cp:coreProperties>
</file>